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6472" w14:textId="0A631174" w:rsidR="00F04E34" w:rsidRPr="00473B06" w:rsidRDefault="007447A7" w:rsidP="004D076C">
      <w:pPr>
        <w:jc w:val="both"/>
        <w:rPr>
          <w:b/>
          <w:bCs/>
          <w:sz w:val="28"/>
          <w:szCs w:val="28"/>
        </w:rPr>
      </w:pPr>
      <w:r w:rsidRPr="00473B06">
        <w:rPr>
          <w:b/>
          <w:bCs/>
          <w:sz w:val="28"/>
          <w:szCs w:val="28"/>
        </w:rPr>
        <w:t>Supplementary Figures</w:t>
      </w:r>
    </w:p>
    <w:p w14:paraId="792C9675" w14:textId="77777777" w:rsidR="00BE7ADC" w:rsidRPr="00473B06" w:rsidRDefault="00BE7ADC" w:rsidP="004D076C">
      <w:pPr>
        <w:jc w:val="both"/>
      </w:pPr>
    </w:p>
    <w:p w14:paraId="761540BD" w14:textId="041C7499" w:rsidR="00BE7ADC" w:rsidRDefault="00BE7ADC" w:rsidP="004D076C">
      <w:pPr>
        <w:jc w:val="both"/>
      </w:pPr>
    </w:p>
    <w:p w14:paraId="0947CEEC" w14:textId="0FC3E1DB" w:rsidR="00B348B2" w:rsidRDefault="00B348B2" w:rsidP="004D076C">
      <w:pPr>
        <w:jc w:val="both"/>
      </w:pPr>
      <w:r>
        <w:object w:dxaOrig="11666" w:dyaOrig="12345" w14:anchorId="529048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53.05pt;height:479.65pt" o:ole="" filled="t">
            <v:imagedata r:id="rId4" o:title=""/>
          </v:shape>
          <o:OLEObject Type="Embed" ProgID="Prism10.Document" ShapeID="_x0000_i1035" DrawAspect="Content" ObjectID="_1818317455" r:id="rId5"/>
        </w:object>
      </w:r>
    </w:p>
    <w:p w14:paraId="1AE2A95C" w14:textId="77777777" w:rsidR="00B348B2" w:rsidRPr="00473B06" w:rsidRDefault="00B348B2" w:rsidP="004D076C">
      <w:pPr>
        <w:jc w:val="both"/>
      </w:pPr>
    </w:p>
    <w:p w14:paraId="0FFF904B" w14:textId="1E75FE8C" w:rsidR="00BE7ADC" w:rsidRPr="0097366B" w:rsidRDefault="00BE7ADC" w:rsidP="0097366B">
      <w:pPr>
        <w:jc w:val="both"/>
      </w:pPr>
      <w:r w:rsidRPr="00BE7ADC">
        <w:rPr>
          <w:b/>
          <w:bCs/>
        </w:rPr>
        <w:t xml:space="preserve">Supplementary Figure 1 </w:t>
      </w:r>
      <w:r w:rsidRPr="009F3F93">
        <w:t xml:space="preserve">– Total cell counts </w:t>
      </w:r>
      <w:r w:rsidR="00B348B2" w:rsidRPr="009F3F93">
        <w:t>of</w:t>
      </w:r>
      <w:r w:rsidRPr="009F3F93">
        <w:t xml:space="preserve"> </w:t>
      </w:r>
      <w:r w:rsidR="00B348B2" w:rsidRPr="009F3F93">
        <w:t>humanization</w:t>
      </w:r>
      <w:r w:rsidR="00B348B2" w:rsidRPr="009F3F93">
        <w:t xml:space="preserve"> </w:t>
      </w:r>
      <w:r w:rsidRPr="009F3F93">
        <w:t xml:space="preserve">rate </w:t>
      </w:r>
      <w:r w:rsidR="00B348B2" w:rsidRPr="009F3F93">
        <w:t xml:space="preserve">analysis, </w:t>
      </w:r>
      <w:r w:rsidRPr="009F3F93">
        <w:t>following engraftment with hCD34</w:t>
      </w:r>
      <w:r w:rsidRPr="009F3F93">
        <w:rPr>
          <w:vertAlign w:val="superscript"/>
        </w:rPr>
        <w:t>+</w:t>
      </w:r>
      <w:r w:rsidRPr="009F3F93">
        <w:t xml:space="preserve"> cells</w:t>
      </w:r>
      <w:r w:rsidRPr="00BE7ADC">
        <w:t xml:space="preserve">. </w:t>
      </w:r>
      <w:r w:rsidRPr="002A32F2">
        <w:rPr>
          <w:b/>
          <w:bCs/>
        </w:rPr>
        <w:t>(A)</w:t>
      </w:r>
      <w:r w:rsidRPr="00BE7ADC">
        <w:t xml:space="preserve"> The rate of humanization was measured over 31 weeks (w) in genO-BRGSF-HIS mice (n=22) engrafted with hCD34</w:t>
      </w:r>
      <w:r w:rsidRPr="002A32F2">
        <w:rPr>
          <w:vertAlign w:val="superscript"/>
        </w:rPr>
        <w:t>+</w:t>
      </w:r>
      <w:r w:rsidRPr="00BE7ADC">
        <w:t xml:space="preserve"> cells from 2 donors (black circles and white circles), represented as the number of hCD45</w:t>
      </w:r>
      <w:r w:rsidRPr="002A32F2">
        <w:rPr>
          <w:vertAlign w:val="superscript"/>
        </w:rPr>
        <w:t>+</w:t>
      </w:r>
      <w:r w:rsidRPr="00BE7ADC">
        <w:t xml:space="preserve"> cells per microliter of blood. </w:t>
      </w:r>
      <w:r w:rsidRPr="002A32F2">
        <w:rPr>
          <w:b/>
          <w:bCs/>
        </w:rPr>
        <w:t>(B)</w:t>
      </w:r>
      <w:r w:rsidRPr="00BE7ADC">
        <w:t xml:space="preserve"> Quantification of the different cell populations following hCD34</w:t>
      </w:r>
      <w:r w:rsidRPr="002A32F2">
        <w:rPr>
          <w:vertAlign w:val="superscript"/>
        </w:rPr>
        <w:t>+</w:t>
      </w:r>
      <w:r w:rsidRPr="00BE7ADC">
        <w:t xml:space="preserve"> </w:t>
      </w:r>
      <w:r w:rsidR="009F3F93">
        <w:t xml:space="preserve">HSC </w:t>
      </w:r>
      <w:r w:rsidRPr="00BE7ADC">
        <w:t>engraftment over 31 weeks, represented as absolute counts. Horizontal lines represent the mean. Data were analyzed using a Mann Whitney test.</w:t>
      </w:r>
      <w:r w:rsidR="0097366B">
        <w:t xml:space="preserve"> </w:t>
      </w:r>
      <w:r w:rsidR="0097366B" w:rsidRPr="0097366B">
        <w:t>***P&lt;0.001,</w:t>
      </w:r>
      <w:r w:rsidR="0097366B" w:rsidRPr="0097366B">
        <w:t xml:space="preserve"> </w:t>
      </w:r>
      <w:r w:rsidR="0097366B" w:rsidRPr="0097366B">
        <w:t>****P&lt;0.0001</w:t>
      </w:r>
      <w:r w:rsidR="0097366B">
        <w:t>, ns – non</w:t>
      </w:r>
      <w:r w:rsidR="00BA47C7">
        <w:t>-</w:t>
      </w:r>
      <w:r w:rsidR="0097366B">
        <w:t>significant.</w:t>
      </w:r>
    </w:p>
    <w:p w14:paraId="4FE5BA41" w14:textId="093B00E6" w:rsidR="00BE7ADC" w:rsidRDefault="008E79FC" w:rsidP="004D076C">
      <w:pPr>
        <w:jc w:val="both"/>
      </w:pPr>
      <w:r>
        <w:rPr>
          <w:noProof/>
        </w:rPr>
        <w:lastRenderedPageBreak/>
        <w:drawing>
          <wp:inline distT="0" distB="0" distL="0" distR="0" wp14:anchorId="379E3107" wp14:editId="0F97911A">
            <wp:extent cx="5905500" cy="7107881"/>
            <wp:effectExtent l="0" t="0" r="0" b="0"/>
            <wp:docPr id="391913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13161" name="Image 39191316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0" r="8234" b="4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2" cy="7114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E7EBF" w14:textId="77777777" w:rsidR="00BE7ADC" w:rsidRDefault="00BE7ADC" w:rsidP="004D076C">
      <w:pPr>
        <w:jc w:val="both"/>
      </w:pPr>
    </w:p>
    <w:p w14:paraId="095D111A" w14:textId="7207F9AA" w:rsidR="00BE7ADC" w:rsidRDefault="00BE7ADC" w:rsidP="004D076C">
      <w:pPr>
        <w:jc w:val="both"/>
        <w:rPr>
          <w:lang w:val="en-US"/>
        </w:rPr>
      </w:pPr>
      <w:r w:rsidRPr="00BE7ADC">
        <w:rPr>
          <w:b/>
          <w:bCs/>
          <w:lang w:val="en-US"/>
        </w:rPr>
        <w:t xml:space="preserve">Supplementary Figure 2 – </w:t>
      </w:r>
      <w:r w:rsidR="00E614F5" w:rsidRPr="00A66480">
        <w:rPr>
          <w:b/>
          <w:bCs/>
          <w:lang w:val="en-US"/>
        </w:rPr>
        <w:t xml:space="preserve">Quantification of different subsets of lymphoid cells in genO-BRGSF-HIS mice. (A) </w:t>
      </w:r>
      <w:r w:rsidR="00E614F5" w:rsidRPr="00A66480">
        <w:rPr>
          <w:lang w:val="en-US"/>
        </w:rPr>
        <w:t xml:space="preserve">Gating strategy used to analyze the different cell populations. </w:t>
      </w:r>
      <w:r w:rsidR="00E614F5" w:rsidRPr="00E614F5">
        <w:rPr>
          <w:b/>
          <w:bCs/>
          <w:lang w:val="en-US"/>
        </w:rPr>
        <w:t xml:space="preserve"> </w:t>
      </w:r>
      <w:r w:rsidR="00E614F5" w:rsidRPr="005B1FCB">
        <w:rPr>
          <w:b/>
          <w:bCs/>
          <w:lang w:val="en-US"/>
        </w:rPr>
        <w:t>(B)</w:t>
      </w:r>
      <w:r w:rsidR="005B1FCB">
        <w:rPr>
          <w:lang w:val="en-US"/>
        </w:rPr>
        <w:t xml:space="preserve"> </w:t>
      </w:r>
      <w:r w:rsidR="005D2846">
        <w:rPr>
          <w:lang w:val="en-US"/>
        </w:rPr>
        <w:t>Total counts</w:t>
      </w:r>
      <w:r w:rsidR="005D2846" w:rsidRPr="00BE7ADC">
        <w:rPr>
          <w:lang w:val="en-US"/>
        </w:rPr>
        <w:t xml:space="preserve"> </w:t>
      </w:r>
      <w:r w:rsidRPr="00BE7ADC">
        <w:rPr>
          <w:lang w:val="en-US"/>
        </w:rPr>
        <w:t xml:space="preserve">of the B cell subpopulations in the spleen, bone marrow </w:t>
      </w:r>
      <w:r w:rsidR="00245BCC">
        <w:rPr>
          <w:lang w:val="en-US"/>
        </w:rPr>
        <w:t xml:space="preserve">(BM) </w:t>
      </w:r>
      <w:r w:rsidRPr="00BE7ADC">
        <w:rPr>
          <w:lang w:val="en-US"/>
        </w:rPr>
        <w:t xml:space="preserve">and blood of hFlt3L-treated genO-BRGSF-HIS mice at 19 weeks of age (n= </w:t>
      </w:r>
      <w:r w:rsidR="00AF3D32">
        <w:rPr>
          <w:lang w:val="en-US"/>
        </w:rPr>
        <w:t>5</w:t>
      </w:r>
      <w:r w:rsidRPr="00BE7ADC">
        <w:rPr>
          <w:lang w:val="en-US"/>
        </w:rPr>
        <w:t>, 3 hCD34</w:t>
      </w:r>
      <w:r w:rsidRPr="00BE7ADC">
        <w:rPr>
          <w:vertAlign w:val="superscript"/>
          <w:lang w:val="en-US"/>
        </w:rPr>
        <w:t>+</w:t>
      </w:r>
      <w:r w:rsidRPr="00BE7ADC">
        <w:rPr>
          <w:lang w:val="en-US"/>
        </w:rPr>
        <w:t xml:space="preserve"> cell donors). </w:t>
      </w:r>
      <w:r w:rsidR="00A15AC0" w:rsidRPr="005B1FCB">
        <w:rPr>
          <w:b/>
          <w:bCs/>
          <w:lang w:val="en-US"/>
        </w:rPr>
        <w:t>(</w:t>
      </w:r>
      <w:r w:rsidR="00E614F5">
        <w:rPr>
          <w:b/>
          <w:bCs/>
          <w:lang w:val="en-US"/>
        </w:rPr>
        <w:t>C</w:t>
      </w:r>
      <w:r w:rsidR="00A15AC0" w:rsidRPr="005B1FCB">
        <w:rPr>
          <w:b/>
          <w:bCs/>
          <w:lang w:val="en-US"/>
        </w:rPr>
        <w:t>)</w:t>
      </w:r>
      <w:r w:rsidRPr="00BE7ADC">
        <w:rPr>
          <w:b/>
          <w:bCs/>
          <w:lang w:val="en-US"/>
        </w:rPr>
        <w:t xml:space="preserve"> </w:t>
      </w:r>
      <w:r w:rsidR="00A45BB0">
        <w:rPr>
          <w:lang w:val="en-US"/>
        </w:rPr>
        <w:t xml:space="preserve">Total counts </w:t>
      </w:r>
      <w:r w:rsidRPr="00BE7ADC">
        <w:rPr>
          <w:lang w:val="en-US"/>
        </w:rPr>
        <w:t>of the T cell subpopulations in the spleen or bone marrow (BM) of genO-BRGSF-HIS mice at 18 weeks of age (n=13, 6 hCD34</w:t>
      </w:r>
      <w:r w:rsidRPr="00BE7ADC">
        <w:rPr>
          <w:vertAlign w:val="superscript"/>
          <w:lang w:val="en-US"/>
        </w:rPr>
        <w:t>+</w:t>
      </w:r>
      <w:r w:rsidRPr="00BE7ADC">
        <w:rPr>
          <w:lang w:val="en-US"/>
        </w:rPr>
        <w:t xml:space="preserve"> cell donors</w:t>
      </w:r>
      <w:r w:rsidR="00DD7A04">
        <w:rPr>
          <w:lang w:val="en-US"/>
        </w:rPr>
        <w:t>)</w:t>
      </w:r>
      <w:r w:rsidR="005F3108">
        <w:rPr>
          <w:lang w:val="en-US"/>
        </w:rPr>
        <w:t>, N</w:t>
      </w:r>
      <w:r w:rsidR="005F3108" w:rsidRPr="00BE7ADC">
        <w:rPr>
          <w:lang w:val="en-US"/>
        </w:rPr>
        <w:t>umber of cells per organ or per microliter of blood</w:t>
      </w:r>
      <w:r w:rsidR="005F3108">
        <w:rPr>
          <w:lang w:val="en-US"/>
        </w:rPr>
        <w:t xml:space="preserve"> are represented</w:t>
      </w:r>
      <w:r w:rsidR="005F3108" w:rsidRPr="00BE7ADC">
        <w:rPr>
          <w:lang w:val="en-US"/>
        </w:rPr>
        <w:t xml:space="preserve">. </w:t>
      </w:r>
      <w:r w:rsidRPr="00BE7ADC">
        <w:rPr>
          <w:lang w:val="en-US"/>
        </w:rPr>
        <w:t xml:space="preserve">Error bars represent standard deviation. </w:t>
      </w:r>
      <w:r w:rsidR="006E2DEE">
        <w:rPr>
          <w:lang w:val="en-US"/>
        </w:rPr>
        <w:t xml:space="preserve">Each </w:t>
      </w:r>
      <w:r w:rsidR="00D83C2F">
        <w:rPr>
          <w:lang w:val="en-US"/>
        </w:rPr>
        <w:t xml:space="preserve">data </w:t>
      </w:r>
      <w:r w:rsidR="00245BCC">
        <w:rPr>
          <w:lang w:val="en-US"/>
        </w:rPr>
        <w:t>point represent</w:t>
      </w:r>
      <w:r w:rsidR="006E2DEE">
        <w:rPr>
          <w:lang w:val="en-US"/>
        </w:rPr>
        <w:t>s</w:t>
      </w:r>
      <w:r w:rsidR="00245BCC">
        <w:rPr>
          <w:lang w:val="en-US"/>
        </w:rPr>
        <w:t xml:space="preserve"> individual mice.</w:t>
      </w:r>
    </w:p>
    <w:p w14:paraId="6C4207E7" w14:textId="77777777" w:rsidR="00DD60CF" w:rsidRDefault="00DD60CF" w:rsidP="004D076C">
      <w:pPr>
        <w:jc w:val="both"/>
        <w:rPr>
          <w:lang w:val="en-US"/>
        </w:rPr>
      </w:pPr>
    </w:p>
    <w:p w14:paraId="7FCC0EAF" w14:textId="55105618" w:rsidR="00B102C9" w:rsidRDefault="00B102C9" w:rsidP="004D076C">
      <w:pPr>
        <w:jc w:val="both"/>
      </w:pPr>
      <w:r>
        <w:object w:dxaOrig="12429" w:dyaOrig="13373" w14:anchorId="65DDF7A4">
          <v:shape id="_x0000_i1026" type="#_x0000_t75" style="width:453.05pt;height:487.95pt" o:ole="" filled="t">
            <v:imagedata r:id="rId7" o:title=""/>
          </v:shape>
          <o:OLEObject Type="Embed" ProgID="Prism10.Document" ShapeID="_x0000_i1026" DrawAspect="Content" ObjectID="_1818317456" r:id="rId8"/>
        </w:object>
      </w:r>
    </w:p>
    <w:p w14:paraId="2BD2A808" w14:textId="77777777" w:rsidR="00B102C9" w:rsidRPr="00BE7ADC" w:rsidRDefault="00B102C9" w:rsidP="004D076C">
      <w:pPr>
        <w:jc w:val="both"/>
      </w:pPr>
    </w:p>
    <w:p w14:paraId="4EAF3A17" w14:textId="03BD08B3" w:rsidR="00643E3F" w:rsidRPr="00643E3F" w:rsidRDefault="00643E3F" w:rsidP="004D076C">
      <w:pPr>
        <w:jc w:val="both"/>
      </w:pPr>
      <w:r w:rsidRPr="00643E3F">
        <w:rPr>
          <w:b/>
          <w:bCs/>
          <w:lang w:val="en-US"/>
        </w:rPr>
        <w:t>Supplementary Figure 3 – genO-BRGSF-HIS mice develop different subsets of myeloid and dendritic cells upon hFlt3L treatment. (A)</w:t>
      </w:r>
      <w:r w:rsidRPr="00643E3F">
        <w:rPr>
          <w:lang w:val="en-US"/>
        </w:rPr>
        <w:t xml:space="preserve"> and </w:t>
      </w:r>
      <w:r w:rsidRPr="00643E3F">
        <w:rPr>
          <w:b/>
          <w:bCs/>
          <w:lang w:val="en-US"/>
        </w:rPr>
        <w:t>(B)</w:t>
      </w:r>
      <w:r w:rsidRPr="00643E3F">
        <w:rPr>
          <w:lang w:val="en-US"/>
        </w:rPr>
        <w:t xml:space="preserve"> Quantification of the different myeloid and dendritic cell subpopulations in the spleen of genO-BRGSF-HIS mice (n=9-11) at 16 weeks of age, following hFlt3L or vehicle (control) treatment, represented as a percentage relative to hCD45</w:t>
      </w:r>
      <w:r w:rsidRPr="00643E3F">
        <w:rPr>
          <w:vertAlign w:val="superscript"/>
          <w:lang w:val="en-US"/>
        </w:rPr>
        <w:t>+</w:t>
      </w:r>
      <w:r w:rsidRPr="00643E3F">
        <w:rPr>
          <w:lang w:val="en-US"/>
        </w:rPr>
        <w:t xml:space="preserve"> cells </w:t>
      </w:r>
      <w:r w:rsidRPr="00643E3F">
        <w:rPr>
          <w:b/>
          <w:bCs/>
          <w:lang w:val="en-US"/>
        </w:rPr>
        <w:t xml:space="preserve">(A) </w:t>
      </w:r>
      <w:r w:rsidRPr="00643E3F">
        <w:rPr>
          <w:lang w:val="en-US"/>
        </w:rPr>
        <w:t xml:space="preserve">or as total cell counts (cells/mL) </w:t>
      </w:r>
      <w:r w:rsidRPr="00643E3F">
        <w:rPr>
          <w:b/>
          <w:bCs/>
          <w:lang w:val="en-US"/>
        </w:rPr>
        <w:t>(B)</w:t>
      </w:r>
      <w:r w:rsidRPr="00643E3F">
        <w:rPr>
          <w:lang w:val="en-US"/>
        </w:rPr>
        <w:t>. Horizontal lines represent the mean. Open or filled squares represent 2 different hCD34</w:t>
      </w:r>
      <w:r w:rsidRPr="00643E3F">
        <w:rPr>
          <w:vertAlign w:val="superscript"/>
          <w:lang w:val="en-US"/>
        </w:rPr>
        <w:t>+</w:t>
      </w:r>
      <w:r w:rsidRPr="00643E3F">
        <w:rPr>
          <w:lang w:val="en-US"/>
        </w:rPr>
        <w:t xml:space="preserve"> cell donors, 5-6 mice per donor were analyzed. Data were analyzed using a Mann Whitney test.</w:t>
      </w:r>
      <w:r w:rsidR="00926843">
        <w:rPr>
          <w:lang w:val="en-US"/>
        </w:rPr>
        <w:t xml:space="preserve"> </w:t>
      </w:r>
      <w:r w:rsidR="00926843" w:rsidRPr="0097366B">
        <w:t>**P&lt;0.01</w:t>
      </w:r>
      <w:r w:rsidR="00926843">
        <w:t xml:space="preserve">, </w:t>
      </w:r>
      <w:r w:rsidR="00926843" w:rsidRPr="0097366B">
        <w:t>***P&lt;0.001, ****P&lt;0.0001</w:t>
      </w:r>
      <w:r w:rsidR="00926843">
        <w:t>, ns – non-significant.</w:t>
      </w:r>
    </w:p>
    <w:p w14:paraId="5035EE2D" w14:textId="77777777" w:rsidR="00BE7ADC" w:rsidRDefault="00BE7ADC" w:rsidP="004D076C">
      <w:pPr>
        <w:jc w:val="both"/>
      </w:pPr>
    </w:p>
    <w:p w14:paraId="64BB2712" w14:textId="277700AA" w:rsidR="009F3F36" w:rsidRDefault="00FF732D" w:rsidP="004D076C">
      <w:pPr>
        <w:jc w:val="both"/>
      </w:pPr>
      <w:r>
        <w:object w:dxaOrig="11369" w:dyaOrig="4660" w14:anchorId="1BE9C1D5">
          <v:shape id="_x0000_i1027" type="#_x0000_t75" style="width:446.95pt;height:183.9pt" o:ole="" filled="t">
            <v:imagedata r:id="rId9" o:title=""/>
          </v:shape>
          <o:OLEObject Type="Embed" ProgID="Prism10.Document" ShapeID="_x0000_i1027" DrawAspect="Content" ObjectID="_1818317457" r:id="rId10"/>
        </w:object>
      </w:r>
    </w:p>
    <w:p w14:paraId="3B95C881" w14:textId="5F64C7DB" w:rsidR="00B515E2" w:rsidRPr="00B515E2" w:rsidRDefault="00B515E2" w:rsidP="004D076C">
      <w:pPr>
        <w:jc w:val="both"/>
      </w:pPr>
      <w:r w:rsidRPr="00B515E2">
        <w:rPr>
          <w:b/>
          <w:bCs/>
          <w:lang w:val="en-US"/>
        </w:rPr>
        <w:t>Supplementary Figure 4 – Human myeloid cells in the genO-BRGSF-HIS model express different PRRs.</w:t>
      </w:r>
      <w:r w:rsidRPr="00B515E2">
        <w:rPr>
          <w:lang w:val="en-US"/>
        </w:rPr>
        <w:t xml:space="preserve"> Expression of TLR4 and TLR8 in different myeloid cells analyzed in the bone marrow (BM) and spleen, measured by cytometry at 36 weeks. genO-BRGSF-HIS mice (n=4) were reconstituted with hCD34</w:t>
      </w:r>
      <w:r w:rsidRPr="00B515E2">
        <w:rPr>
          <w:vertAlign w:val="superscript"/>
          <w:lang w:val="en-US"/>
        </w:rPr>
        <w:t>+</w:t>
      </w:r>
      <w:r w:rsidRPr="00B515E2">
        <w:rPr>
          <w:lang w:val="en-US"/>
        </w:rPr>
        <w:t xml:space="preserve"> cells from 3 different donors. Horizontal lines represent the mean. </w:t>
      </w:r>
    </w:p>
    <w:p w14:paraId="18C81C1E" w14:textId="77777777" w:rsidR="009F3F36" w:rsidRDefault="009F3F36" w:rsidP="004D076C">
      <w:pPr>
        <w:jc w:val="both"/>
      </w:pPr>
    </w:p>
    <w:p w14:paraId="60F9C87A" w14:textId="77777777" w:rsidR="008E1BBB" w:rsidRDefault="008E1BBB" w:rsidP="004D076C">
      <w:pPr>
        <w:jc w:val="both"/>
      </w:pPr>
    </w:p>
    <w:p w14:paraId="64299879" w14:textId="3F2CDEB7" w:rsidR="00EB33F5" w:rsidRDefault="00830DA3" w:rsidP="004D076C">
      <w:pPr>
        <w:jc w:val="both"/>
      </w:pPr>
      <w:r>
        <w:object w:dxaOrig="4137" w:dyaOrig="4867" w14:anchorId="4EB8E4E4">
          <v:shape id="_x0000_i1028" type="#_x0000_t75" style="width:134.6pt;height:158.4pt" o:ole="" filled="t">
            <v:imagedata r:id="rId11" o:title=""/>
          </v:shape>
          <o:OLEObject Type="Embed" ProgID="Prism10.Document" ShapeID="_x0000_i1028" DrawAspect="Content" ObjectID="_1818317458" r:id="rId12"/>
        </w:object>
      </w:r>
    </w:p>
    <w:p w14:paraId="37452245" w14:textId="1033FCB2" w:rsidR="006A5CCD" w:rsidRPr="008B1EE7" w:rsidRDefault="00830DA3" w:rsidP="004D076C">
      <w:pPr>
        <w:jc w:val="both"/>
      </w:pPr>
      <w:r w:rsidRPr="009A461D">
        <w:rPr>
          <w:b/>
          <w:bCs/>
        </w:rPr>
        <w:t xml:space="preserve">Supplementary Figure 5 </w:t>
      </w:r>
      <w:r w:rsidR="00E36506" w:rsidRPr="009A461D">
        <w:rPr>
          <w:b/>
          <w:bCs/>
        </w:rPr>
        <w:t>–</w:t>
      </w:r>
      <w:r w:rsidRPr="009A461D">
        <w:rPr>
          <w:b/>
          <w:bCs/>
        </w:rPr>
        <w:t xml:space="preserve"> </w:t>
      </w:r>
      <w:r w:rsidR="00E36506" w:rsidRPr="009A461D">
        <w:rPr>
          <w:b/>
          <w:bCs/>
        </w:rPr>
        <w:t>STING stimulation leads to T cell activation</w:t>
      </w:r>
      <w:r w:rsidR="00083897" w:rsidRPr="009A461D">
        <w:rPr>
          <w:b/>
          <w:bCs/>
        </w:rPr>
        <w:t>.</w:t>
      </w:r>
      <w:r w:rsidR="00083897">
        <w:t xml:space="preserve"> </w:t>
      </w:r>
      <w:r w:rsidR="00083897">
        <w:rPr>
          <w:lang w:eastAsia="fr-FR"/>
        </w:rPr>
        <w:t>T cells</w:t>
      </w:r>
      <w:r w:rsidR="00083897" w:rsidRPr="00516758">
        <w:rPr>
          <w:lang w:val="en-US" w:eastAsia="fr-FR"/>
        </w:rPr>
        <w:t xml:space="preserve"> (hCD</w:t>
      </w:r>
      <w:r w:rsidR="00083897">
        <w:rPr>
          <w:lang w:val="en-US" w:eastAsia="fr-FR"/>
        </w:rPr>
        <w:t>3</w:t>
      </w:r>
      <w:r w:rsidR="00083897" w:rsidRPr="00516758">
        <w:rPr>
          <w:vertAlign w:val="superscript"/>
          <w:lang w:val="en-US" w:eastAsia="fr-FR"/>
        </w:rPr>
        <w:t>+</w:t>
      </w:r>
      <w:r w:rsidR="00083897" w:rsidRPr="00516758">
        <w:rPr>
          <w:lang w:val="en-US" w:eastAsia="fr-FR"/>
        </w:rPr>
        <w:t xml:space="preserve">) isolated from </w:t>
      </w:r>
      <w:r w:rsidR="00083897">
        <w:rPr>
          <w:lang w:val="en-US" w:eastAsia="fr-FR"/>
        </w:rPr>
        <w:t>nine</w:t>
      </w:r>
      <w:r w:rsidR="00083897" w:rsidRPr="00516758">
        <w:rPr>
          <w:lang w:val="en-US" w:eastAsia="fr-FR"/>
        </w:rPr>
        <w:t xml:space="preserve"> hFlt3L-treated genO-BRSGF-HIS mice were treated with </w:t>
      </w:r>
      <w:r w:rsidR="00C2025D">
        <w:rPr>
          <w:lang w:val="en-US" w:eastAsia="fr-FR"/>
        </w:rPr>
        <w:t>2’3’ cGAMP</w:t>
      </w:r>
      <w:r w:rsidR="00083897" w:rsidRPr="00516758">
        <w:rPr>
          <w:lang w:val="en-US" w:eastAsia="fr-FR"/>
        </w:rPr>
        <w:t xml:space="preserve"> at </w:t>
      </w:r>
      <w:r w:rsidR="00C2025D">
        <w:rPr>
          <w:lang w:val="en-US" w:eastAsia="fr-FR"/>
        </w:rPr>
        <w:t>50</w:t>
      </w:r>
      <w:r w:rsidR="00083897" w:rsidRPr="00516758">
        <w:rPr>
          <w:lang w:val="en-US" w:eastAsia="fr-FR"/>
        </w:rPr>
        <w:t xml:space="preserve"> µg/mL, or left unstimulated (Unst). CD</w:t>
      </w:r>
      <w:r w:rsidR="00AA491B">
        <w:rPr>
          <w:lang w:val="en-US" w:eastAsia="fr-FR"/>
        </w:rPr>
        <w:t>69</w:t>
      </w:r>
      <w:r w:rsidR="00083897" w:rsidRPr="00516758">
        <w:rPr>
          <w:lang w:val="en-US" w:eastAsia="fr-FR"/>
        </w:rPr>
        <w:t xml:space="preserve"> expression was measured 24 hours later by cytometry.</w:t>
      </w:r>
      <w:r w:rsidR="00285E4C">
        <w:rPr>
          <w:lang w:val="en-US" w:eastAsia="fr-FR"/>
        </w:rPr>
        <w:t xml:space="preserve"> Data were analyzed with a </w:t>
      </w:r>
      <w:r w:rsidR="006A5CCD">
        <w:t>Wel</w:t>
      </w:r>
      <w:r w:rsidR="00727956">
        <w:t>c</w:t>
      </w:r>
      <w:r w:rsidR="006A5CCD">
        <w:t>h</w:t>
      </w:r>
      <w:r w:rsidR="00727956">
        <w:t xml:space="preserve"> </w:t>
      </w:r>
      <w:r w:rsidR="00285E4C">
        <w:t>T</w:t>
      </w:r>
      <w:r w:rsidR="00727956">
        <w:t xml:space="preserve"> test. </w:t>
      </w:r>
      <w:r w:rsidR="00727956" w:rsidRPr="00083897">
        <w:t xml:space="preserve">Bars represent standard deviation. </w:t>
      </w:r>
      <w:r w:rsidR="00727956" w:rsidRPr="008B1EE7">
        <w:t xml:space="preserve">3 </w:t>
      </w:r>
      <w:r w:rsidR="006D72BD">
        <w:t xml:space="preserve">HSC </w:t>
      </w:r>
      <w:r w:rsidR="00727956" w:rsidRPr="008B1EE7">
        <w:t>donors</w:t>
      </w:r>
      <w:r w:rsidR="006D72BD">
        <w:t xml:space="preserve"> were used</w:t>
      </w:r>
      <w:r w:rsidR="00727956" w:rsidRPr="008B1EE7">
        <w:t xml:space="preserve">, </w:t>
      </w:r>
      <w:r w:rsidR="00901EF0">
        <w:t xml:space="preserve">and </w:t>
      </w:r>
      <w:r w:rsidR="008B1EE7" w:rsidRPr="009A461D">
        <w:t xml:space="preserve">3 mice </w:t>
      </w:r>
      <w:r w:rsidR="00901EF0">
        <w:t xml:space="preserve">were used </w:t>
      </w:r>
      <w:r w:rsidR="008B1EE7" w:rsidRPr="009A461D">
        <w:t>per donor. I</w:t>
      </w:r>
      <w:r w:rsidR="008B1EE7">
        <w:t xml:space="preserve">ndividual </w:t>
      </w:r>
      <w:r w:rsidR="00D42CCE">
        <w:t xml:space="preserve">data </w:t>
      </w:r>
      <w:r w:rsidR="008B1EE7">
        <w:t>points represent pooled mice per donor.</w:t>
      </w:r>
      <w:r w:rsidR="002E7868">
        <w:t xml:space="preserve"> </w:t>
      </w:r>
      <w:r w:rsidR="002E7868" w:rsidRPr="0097366B">
        <w:t>*P&lt;0.</w:t>
      </w:r>
      <w:r w:rsidR="007D35F1">
        <w:t>05</w:t>
      </w:r>
      <w:r w:rsidR="002E7868">
        <w:t>.</w:t>
      </w:r>
    </w:p>
    <w:p w14:paraId="500E694F" w14:textId="77777777" w:rsidR="00EB33F5" w:rsidRPr="008B1EE7" w:rsidRDefault="00EB33F5" w:rsidP="004D076C">
      <w:pPr>
        <w:jc w:val="both"/>
      </w:pPr>
    </w:p>
    <w:p w14:paraId="260C25FC" w14:textId="77777777" w:rsidR="00B515E2" w:rsidRPr="008B1EE7" w:rsidRDefault="00B515E2" w:rsidP="004D076C">
      <w:pPr>
        <w:jc w:val="both"/>
      </w:pPr>
    </w:p>
    <w:p w14:paraId="067203A3" w14:textId="333B02F1" w:rsidR="00AB2D54" w:rsidRPr="008B1EE7" w:rsidRDefault="00AB2D54" w:rsidP="004D076C">
      <w:pPr>
        <w:jc w:val="both"/>
      </w:pPr>
    </w:p>
    <w:p w14:paraId="5B02C022" w14:textId="62515D86" w:rsidR="0076201F" w:rsidRDefault="00FB0640" w:rsidP="004D076C">
      <w:pPr>
        <w:jc w:val="both"/>
      </w:pPr>
      <w:r>
        <w:object w:dxaOrig="13392" w:dyaOrig="7675" w14:anchorId="5CB587E4">
          <v:shape id="_x0000_i1029" type="#_x0000_t75" style="width:484.05pt;height:278.05pt" o:ole="" filled="t">
            <v:imagedata r:id="rId13" o:title=""/>
          </v:shape>
          <o:OLEObject Type="Embed" ProgID="Prism10.Document" ShapeID="_x0000_i1029" DrawAspect="Content" ObjectID="_1818317459" r:id="rId14"/>
        </w:object>
      </w:r>
    </w:p>
    <w:p w14:paraId="7E04E4CA" w14:textId="77777777" w:rsidR="0076201F" w:rsidRDefault="0076201F" w:rsidP="004D076C">
      <w:pPr>
        <w:jc w:val="both"/>
      </w:pPr>
    </w:p>
    <w:p w14:paraId="680A4FB8" w14:textId="7B28817A" w:rsidR="00936BCD" w:rsidRPr="00936BCD" w:rsidRDefault="00936BCD" w:rsidP="004D076C">
      <w:pPr>
        <w:jc w:val="both"/>
      </w:pPr>
      <w:r w:rsidRPr="00936BCD">
        <w:rPr>
          <w:b/>
          <w:bCs/>
          <w:lang w:val="en-US"/>
        </w:rPr>
        <w:t xml:space="preserve">Supplementary Figure </w:t>
      </w:r>
      <w:r w:rsidR="00E05D60">
        <w:rPr>
          <w:b/>
          <w:bCs/>
          <w:lang w:val="en-US"/>
        </w:rPr>
        <w:t>6</w:t>
      </w:r>
      <w:r w:rsidR="00E05D60" w:rsidRPr="00936BCD">
        <w:rPr>
          <w:b/>
          <w:bCs/>
          <w:lang w:val="en-US"/>
        </w:rPr>
        <w:t xml:space="preserve"> </w:t>
      </w:r>
      <w:r w:rsidRPr="00936BCD">
        <w:rPr>
          <w:b/>
          <w:bCs/>
          <w:lang w:val="en-US"/>
        </w:rPr>
        <w:t>– MDA-MB-231 TME infiltration by human immune cells and its composition by hCD34</w:t>
      </w:r>
      <w:r w:rsidRPr="00936BCD">
        <w:rPr>
          <w:b/>
          <w:bCs/>
          <w:vertAlign w:val="superscript"/>
          <w:lang w:val="en-US"/>
        </w:rPr>
        <w:t>+</w:t>
      </w:r>
      <w:r w:rsidRPr="00936BCD">
        <w:rPr>
          <w:b/>
          <w:bCs/>
          <w:lang w:val="en-US"/>
        </w:rPr>
        <w:t xml:space="preserve">-donor. (A) </w:t>
      </w:r>
      <w:r w:rsidRPr="00936BCD">
        <w:rPr>
          <w:lang w:val="en-US"/>
        </w:rPr>
        <w:t>Quantification of the immune cell infiltration in the TME of MDA-MB-231 tumors per donor at 400-500 mm</w:t>
      </w:r>
      <w:r w:rsidRPr="00936BCD">
        <w:rPr>
          <w:vertAlign w:val="superscript"/>
          <w:lang w:val="en-US"/>
        </w:rPr>
        <w:t>3</w:t>
      </w:r>
      <w:r w:rsidRPr="00936BCD">
        <w:rPr>
          <w:lang w:val="en-US"/>
        </w:rPr>
        <w:t>. The percentage of murine or human CD45</w:t>
      </w:r>
      <w:r w:rsidRPr="00936BCD">
        <w:rPr>
          <w:vertAlign w:val="superscript"/>
          <w:lang w:val="en-US"/>
        </w:rPr>
        <w:t>+</w:t>
      </w:r>
      <w:r w:rsidRPr="00936BCD">
        <w:rPr>
          <w:lang w:val="en-US"/>
        </w:rPr>
        <w:t xml:space="preserve"> cells was calculated relative to total viable cells in the tumors. The graphs represent tumors in 5 hFlt3L-treated genO-BRGSF-HIS mice per donor, and the error bars represent standard deviation. </w:t>
      </w:r>
      <w:r w:rsidRPr="00936BCD">
        <w:rPr>
          <w:b/>
          <w:bCs/>
          <w:lang w:val="en-US"/>
        </w:rPr>
        <w:t>(B)</w:t>
      </w:r>
      <w:r w:rsidRPr="00936BCD">
        <w:rPr>
          <w:lang w:val="en-US"/>
        </w:rPr>
        <w:t xml:space="preserve"> </w:t>
      </w:r>
      <w:bookmarkStart w:id="0" w:name="OLE_LINK1"/>
      <w:r w:rsidRPr="00936BCD">
        <w:rPr>
          <w:lang w:val="en-US"/>
        </w:rPr>
        <w:t xml:space="preserve">Cytometry quantification of the cell populations present in the human immune infiltrate of the MDA-MB-231 TME per donor, measured at two tumor volume timepoints. The graphs represent tumors in 2-3 hFlt3L-treated genO-BRGSF-HIS mice, and the error bars represent standard error of the mean. </w:t>
      </w:r>
    </w:p>
    <w:bookmarkEnd w:id="0"/>
    <w:p w14:paraId="74272C38" w14:textId="77777777" w:rsidR="00AB2D54" w:rsidRDefault="00AB2D54" w:rsidP="004D076C">
      <w:pPr>
        <w:jc w:val="both"/>
      </w:pPr>
    </w:p>
    <w:p w14:paraId="30980848" w14:textId="77F24A0C" w:rsidR="00AB62AA" w:rsidRDefault="00AB62AA" w:rsidP="004D076C">
      <w:pPr>
        <w:jc w:val="both"/>
      </w:pPr>
    </w:p>
    <w:p w14:paraId="623623B0" w14:textId="67FFA88F" w:rsidR="0023506B" w:rsidRDefault="00981E7E" w:rsidP="004D076C">
      <w:pPr>
        <w:jc w:val="both"/>
      </w:pPr>
      <w:r>
        <w:object w:dxaOrig="12146" w:dyaOrig="4483" w14:anchorId="05B0D704">
          <v:shape id="_x0000_i1030" type="#_x0000_t75" style="width:420.9pt;height:155.65pt" o:ole="" filled="t">
            <v:imagedata r:id="rId15" o:title=""/>
          </v:shape>
          <o:OLEObject Type="Embed" ProgID="Prism10.Document" ShapeID="_x0000_i1030" DrawAspect="Content" ObjectID="_1818317460" r:id="rId16"/>
        </w:object>
      </w:r>
    </w:p>
    <w:p w14:paraId="5D4E2A4D" w14:textId="77777777" w:rsidR="0023506B" w:rsidRDefault="0023506B" w:rsidP="004D076C">
      <w:pPr>
        <w:jc w:val="both"/>
      </w:pPr>
    </w:p>
    <w:p w14:paraId="46275203" w14:textId="5BFC2286" w:rsidR="002F5669" w:rsidRDefault="002F5669" w:rsidP="004D076C">
      <w:pPr>
        <w:jc w:val="both"/>
        <w:rPr>
          <w:lang w:val="en-US"/>
        </w:rPr>
      </w:pPr>
      <w:r w:rsidRPr="002F5669">
        <w:rPr>
          <w:b/>
          <w:bCs/>
          <w:lang w:val="en-US"/>
        </w:rPr>
        <w:t xml:space="preserve">Supplementary Figure </w:t>
      </w:r>
      <w:r w:rsidR="00E05D60">
        <w:rPr>
          <w:b/>
          <w:bCs/>
          <w:lang w:val="en-US"/>
        </w:rPr>
        <w:t>7</w:t>
      </w:r>
      <w:r w:rsidR="00E05D60" w:rsidRPr="002F5669">
        <w:rPr>
          <w:b/>
          <w:bCs/>
          <w:lang w:val="en-US"/>
        </w:rPr>
        <w:t xml:space="preserve"> </w:t>
      </w:r>
      <w:r w:rsidRPr="002F5669">
        <w:rPr>
          <w:b/>
          <w:bCs/>
          <w:lang w:val="en-US"/>
        </w:rPr>
        <w:t xml:space="preserve">– A549 TME immune cell infiltration and humanization rate vary according to tumor size. (A) </w:t>
      </w:r>
      <w:r w:rsidRPr="002F5669">
        <w:rPr>
          <w:lang w:val="en-US"/>
        </w:rPr>
        <w:t xml:space="preserve">Quantification of the total immune cell infiltration in the TME of A549 tumors by </w:t>
      </w:r>
      <w:r w:rsidRPr="002F5669">
        <w:rPr>
          <w:lang w:val="en-US"/>
        </w:rPr>
        <w:lastRenderedPageBreak/>
        <w:t>tumor size. The percentage of murine or human CD45</w:t>
      </w:r>
      <w:r w:rsidRPr="002F5669">
        <w:rPr>
          <w:vertAlign w:val="superscript"/>
          <w:lang w:val="en-US"/>
        </w:rPr>
        <w:t>+</w:t>
      </w:r>
      <w:r w:rsidRPr="002F5669">
        <w:rPr>
          <w:lang w:val="en-US"/>
        </w:rPr>
        <w:t xml:space="preserve"> cells was calculated relative to total viable cells in the tumors. </w:t>
      </w:r>
      <w:r w:rsidRPr="002F5669">
        <w:rPr>
          <w:b/>
          <w:bCs/>
          <w:lang w:val="en-US"/>
        </w:rPr>
        <w:t>(B)</w:t>
      </w:r>
      <w:r w:rsidRPr="002F5669">
        <w:rPr>
          <w:lang w:val="en-US"/>
        </w:rPr>
        <w:t xml:space="preserve"> Humanization rate in tumors represented by tumor size. Each point represents individual mice. Both graphs represent tumors in 6 genO-BRGSF-HIS mice per timepoint, implanted with 5 x 10</w:t>
      </w:r>
      <w:r w:rsidRPr="002F5669">
        <w:rPr>
          <w:vertAlign w:val="superscript"/>
          <w:lang w:val="en-US"/>
        </w:rPr>
        <w:t>6</w:t>
      </w:r>
      <w:r w:rsidRPr="002F5669">
        <w:rPr>
          <w:lang w:val="en-US"/>
        </w:rPr>
        <w:t xml:space="preserve"> A549 cells, and the error bars represent standard deviation. </w:t>
      </w:r>
    </w:p>
    <w:p w14:paraId="5C111345" w14:textId="77777777" w:rsidR="00521354" w:rsidRDefault="00521354" w:rsidP="004D076C">
      <w:pPr>
        <w:jc w:val="both"/>
        <w:rPr>
          <w:lang w:val="en-US"/>
        </w:rPr>
      </w:pPr>
    </w:p>
    <w:p w14:paraId="764D43E3" w14:textId="77777777" w:rsidR="00521354" w:rsidRDefault="00521354" w:rsidP="004D076C">
      <w:pPr>
        <w:jc w:val="both"/>
        <w:rPr>
          <w:lang w:val="en-US"/>
        </w:rPr>
      </w:pPr>
    </w:p>
    <w:p w14:paraId="60BF97C2" w14:textId="77777777" w:rsidR="00521354" w:rsidRPr="002F5669" w:rsidRDefault="00521354" w:rsidP="004D076C">
      <w:pPr>
        <w:jc w:val="both"/>
      </w:pPr>
    </w:p>
    <w:p w14:paraId="1B8C7E78" w14:textId="417E9147" w:rsidR="00AB62AA" w:rsidRDefault="00521354" w:rsidP="004D076C">
      <w:pPr>
        <w:jc w:val="both"/>
      </w:pPr>
      <w:r>
        <w:rPr>
          <w:noProof/>
        </w:rPr>
        <w:drawing>
          <wp:inline distT="0" distB="0" distL="0" distR="0" wp14:anchorId="2F98216B" wp14:editId="52B1B579">
            <wp:extent cx="3887474" cy="3048000"/>
            <wp:effectExtent l="0" t="0" r="0" b="0"/>
            <wp:docPr id="17375134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3415" name="Image 17375134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52" cy="305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B01E" w14:textId="72C55C99" w:rsidR="00521354" w:rsidRDefault="00B40142" w:rsidP="004D076C">
      <w:pPr>
        <w:jc w:val="both"/>
        <w:rPr>
          <w:lang w:val="en-US"/>
        </w:rPr>
      </w:pPr>
      <w:r w:rsidRPr="00B40142">
        <w:rPr>
          <w:b/>
          <w:bCs/>
          <w:lang w:val="en-US"/>
        </w:rPr>
        <w:t xml:space="preserve">Supplementary Figure </w:t>
      </w:r>
      <w:r w:rsidR="00E05D60">
        <w:rPr>
          <w:b/>
          <w:bCs/>
          <w:lang w:val="en-US"/>
        </w:rPr>
        <w:t>8</w:t>
      </w:r>
      <w:r w:rsidR="00E05D60" w:rsidRPr="00B40142">
        <w:rPr>
          <w:b/>
          <w:bCs/>
          <w:lang w:val="en-US"/>
        </w:rPr>
        <w:t xml:space="preserve"> </w:t>
      </w:r>
      <w:r w:rsidRPr="00B40142">
        <w:rPr>
          <w:b/>
          <w:bCs/>
          <w:lang w:val="en-US"/>
        </w:rPr>
        <w:t>– The NK1, NK2 and NK3 subsets of NK cells are present in the A549 TME.</w:t>
      </w:r>
      <w:r w:rsidRPr="00B40142">
        <w:rPr>
          <w:lang w:val="en-US"/>
        </w:rPr>
        <w:t xml:space="preserve"> Representation of the gating strategy used to identify the different NK cell subsets and quantification of the percentages of NK subsets in the three timepoints.</w:t>
      </w:r>
      <w:r w:rsidRPr="00B40142">
        <w:rPr>
          <w:b/>
          <w:bCs/>
          <w:lang w:val="en-US"/>
        </w:rPr>
        <w:t xml:space="preserve"> </w:t>
      </w:r>
      <w:r w:rsidRPr="00B40142">
        <w:rPr>
          <w:lang w:val="en-US"/>
        </w:rPr>
        <w:t xml:space="preserve">Graph represents tumors in 6 genO-BRGSF-HIS mice per timepoint, and the error bars represent standard deviation. Each point represents individual mice, and the colors represent different donors. </w:t>
      </w:r>
    </w:p>
    <w:p w14:paraId="29CF4B76" w14:textId="77777777" w:rsidR="00763860" w:rsidRDefault="00763860" w:rsidP="004D076C">
      <w:pPr>
        <w:jc w:val="both"/>
        <w:rPr>
          <w:lang w:val="en-US"/>
        </w:rPr>
      </w:pPr>
    </w:p>
    <w:p w14:paraId="2A954E91" w14:textId="77777777" w:rsidR="00763860" w:rsidRDefault="00763860" w:rsidP="004D076C">
      <w:pPr>
        <w:jc w:val="both"/>
        <w:rPr>
          <w:lang w:val="en-US"/>
        </w:rPr>
      </w:pPr>
    </w:p>
    <w:p w14:paraId="42B24202" w14:textId="77777777" w:rsidR="00763860" w:rsidRDefault="00763860" w:rsidP="004D076C">
      <w:pPr>
        <w:jc w:val="both"/>
        <w:rPr>
          <w:lang w:val="en-US"/>
        </w:rPr>
      </w:pPr>
    </w:p>
    <w:p w14:paraId="18B9AA24" w14:textId="4F3A2BD1" w:rsidR="00B43065" w:rsidRDefault="00763860" w:rsidP="004D076C">
      <w:pPr>
        <w:jc w:val="both"/>
      </w:pPr>
      <w:r>
        <w:object w:dxaOrig="12386" w:dyaOrig="2801" w14:anchorId="22416022">
          <v:shape id="_x0000_i1031" type="#_x0000_t75" style="width:502.9pt;height:113.55pt" o:ole="" filled="t">
            <v:imagedata r:id="rId18" o:title=""/>
          </v:shape>
          <o:OLEObject Type="Embed" ProgID="Prism10.Document" ShapeID="_x0000_i1031" DrawAspect="Content" ObjectID="_1818317461" r:id="rId19"/>
        </w:object>
      </w:r>
    </w:p>
    <w:p w14:paraId="6A178494" w14:textId="12EE0ECF" w:rsidR="008D06E5" w:rsidRPr="008B1EE7" w:rsidRDefault="00AE3396" w:rsidP="008D06E5">
      <w:pPr>
        <w:jc w:val="both"/>
      </w:pPr>
      <w:r w:rsidRPr="00AE3396">
        <w:rPr>
          <w:b/>
          <w:bCs/>
          <w:lang w:val="en-US"/>
        </w:rPr>
        <w:t xml:space="preserve">Supplementary Figure </w:t>
      </w:r>
      <w:r w:rsidR="00E05D60">
        <w:rPr>
          <w:b/>
          <w:bCs/>
          <w:lang w:val="en-US"/>
        </w:rPr>
        <w:t>9</w:t>
      </w:r>
      <w:r w:rsidR="00E05D60" w:rsidRPr="00AE3396">
        <w:rPr>
          <w:b/>
          <w:bCs/>
          <w:lang w:val="en-US"/>
        </w:rPr>
        <w:t xml:space="preserve"> </w:t>
      </w:r>
      <w:r w:rsidRPr="00AE3396">
        <w:rPr>
          <w:b/>
          <w:bCs/>
          <w:lang w:val="en-US"/>
        </w:rPr>
        <w:t>– The expression of NK cell markers in NK1, NK2 and NK3 subsets varies according to tumor size.</w:t>
      </w:r>
      <w:r w:rsidRPr="00AE3396">
        <w:rPr>
          <w:lang w:val="en-US"/>
        </w:rPr>
        <w:t xml:space="preserve"> Quantification of the percentages of NK subsets expressing different NK cell markers, in three tumor-growth timepoints. Each graph represents tumors in 6 genO-BRGSF-HIS mice </w:t>
      </w:r>
      <w:r w:rsidRPr="00AE3396">
        <w:rPr>
          <w:lang w:val="en-US"/>
        </w:rPr>
        <w:lastRenderedPageBreak/>
        <w:t>per timepoint, implanted with 5 x 10</w:t>
      </w:r>
      <w:r w:rsidRPr="00AE3396">
        <w:rPr>
          <w:vertAlign w:val="superscript"/>
          <w:lang w:val="en-US"/>
        </w:rPr>
        <w:t>6</w:t>
      </w:r>
      <w:r w:rsidRPr="00AE3396">
        <w:rPr>
          <w:lang w:val="en-US"/>
        </w:rPr>
        <w:t xml:space="preserve"> A549 cells, and the error bars represent standard deviation. Each point represents individual mice, and the colors represent different donors. nd – not detected. Data were analyzed with a two-way ANOVA.</w:t>
      </w:r>
      <w:r w:rsidR="008D06E5">
        <w:rPr>
          <w:lang w:val="en-US"/>
        </w:rPr>
        <w:t xml:space="preserve"> </w:t>
      </w:r>
      <w:r w:rsidR="008D06E5" w:rsidRPr="0097366B">
        <w:t>*P&lt;0.</w:t>
      </w:r>
      <w:r w:rsidR="008D06E5">
        <w:t>05</w:t>
      </w:r>
      <w:r w:rsidR="008D06E5">
        <w:t xml:space="preserve">, </w:t>
      </w:r>
      <w:r w:rsidR="009A4373" w:rsidRPr="0097366B">
        <w:t>**P&lt;0.01</w:t>
      </w:r>
      <w:r w:rsidR="009A4373">
        <w:t xml:space="preserve">, </w:t>
      </w:r>
      <w:r w:rsidR="009A4373" w:rsidRPr="0097366B">
        <w:t>***P&lt;0.001</w:t>
      </w:r>
      <w:r w:rsidR="009A4373">
        <w:t>.</w:t>
      </w:r>
    </w:p>
    <w:p w14:paraId="2F96094B" w14:textId="234620C5" w:rsidR="00AE3396" w:rsidRDefault="00AE3396" w:rsidP="004D076C">
      <w:pPr>
        <w:jc w:val="both"/>
        <w:rPr>
          <w:lang w:val="en-US"/>
        </w:rPr>
      </w:pPr>
    </w:p>
    <w:p w14:paraId="29C4372E" w14:textId="77777777" w:rsidR="00AE3396" w:rsidRDefault="00AE3396" w:rsidP="004D076C">
      <w:pPr>
        <w:jc w:val="both"/>
        <w:rPr>
          <w:lang w:val="en-US"/>
        </w:rPr>
      </w:pPr>
    </w:p>
    <w:p w14:paraId="302E9793" w14:textId="77777777" w:rsidR="0087353E" w:rsidRDefault="0087353E" w:rsidP="004D076C">
      <w:pPr>
        <w:jc w:val="both"/>
        <w:rPr>
          <w:lang w:val="en-US"/>
        </w:rPr>
      </w:pPr>
    </w:p>
    <w:p w14:paraId="61A40566" w14:textId="3DF25E52" w:rsidR="00425BA9" w:rsidRDefault="00D24F8F" w:rsidP="004D076C">
      <w:pPr>
        <w:jc w:val="both"/>
      </w:pPr>
      <w:r>
        <w:object w:dxaOrig="14899" w:dyaOrig="4514" w14:anchorId="43A09382">
          <v:shape id="_x0000_i1032" type="#_x0000_t75" style="width:453.05pt;height:137.35pt" o:ole="" filled="t">
            <v:imagedata r:id="rId20" o:title=""/>
          </v:shape>
          <o:OLEObject Type="Embed" ProgID="Prism10.Document" ShapeID="_x0000_i1032" DrawAspect="Content" ObjectID="_1818317462" r:id="rId21"/>
        </w:object>
      </w:r>
    </w:p>
    <w:p w14:paraId="51328BC4" w14:textId="3F368926" w:rsidR="0087353E" w:rsidRDefault="0087353E" w:rsidP="004D076C">
      <w:pPr>
        <w:jc w:val="both"/>
        <w:rPr>
          <w:lang w:val="en-US"/>
        </w:rPr>
      </w:pPr>
      <w:r w:rsidRPr="0087353E">
        <w:rPr>
          <w:b/>
          <w:bCs/>
          <w:lang w:val="en-US"/>
        </w:rPr>
        <w:t xml:space="preserve">Supplementary Figure </w:t>
      </w:r>
      <w:r w:rsidR="00E05D60">
        <w:rPr>
          <w:b/>
          <w:bCs/>
          <w:lang w:val="en-US"/>
        </w:rPr>
        <w:t>10</w:t>
      </w:r>
      <w:r w:rsidR="00E05D60" w:rsidRPr="0087353E">
        <w:rPr>
          <w:b/>
          <w:bCs/>
          <w:lang w:val="en-US"/>
        </w:rPr>
        <w:t xml:space="preserve"> </w:t>
      </w:r>
      <w:r w:rsidRPr="0087353E">
        <w:rPr>
          <w:b/>
          <w:bCs/>
          <w:lang w:val="en-US"/>
        </w:rPr>
        <w:t xml:space="preserve">– genO-BRGSF-HIS mice are permissive to engraftment with HPAF-II cells. (A) </w:t>
      </w:r>
      <w:r w:rsidRPr="0087353E">
        <w:rPr>
          <w:lang w:val="en-US"/>
        </w:rPr>
        <w:t>Tumor growth was measured over time in genO-BRGSF-HIS mice engrafted with hCD34</w:t>
      </w:r>
      <w:r w:rsidRPr="0087353E">
        <w:rPr>
          <w:vertAlign w:val="superscript"/>
          <w:lang w:val="en-US"/>
        </w:rPr>
        <w:t>+</w:t>
      </w:r>
      <w:r w:rsidRPr="0087353E">
        <w:rPr>
          <w:lang w:val="en-US"/>
        </w:rPr>
        <w:t xml:space="preserve"> cells from 4 donors and implanted with 1.5 x 10</w:t>
      </w:r>
      <w:r w:rsidRPr="0087353E">
        <w:rPr>
          <w:vertAlign w:val="superscript"/>
          <w:lang w:val="en-US"/>
        </w:rPr>
        <w:t>6</w:t>
      </w:r>
      <w:r w:rsidRPr="0087353E">
        <w:rPr>
          <w:lang w:val="en-US"/>
        </w:rPr>
        <w:t xml:space="preserve"> HPAF-II cells. 5-6 mice were used per donor. </w:t>
      </w:r>
      <w:r w:rsidRPr="0087353E">
        <w:rPr>
          <w:b/>
          <w:bCs/>
          <w:lang w:val="en-US"/>
        </w:rPr>
        <w:t xml:space="preserve">(B) </w:t>
      </w:r>
      <w:r w:rsidRPr="0087353E">
        <w:rPr>
          <w:lang w:val="en-US"/>
        </w:rPr>
        <w:t>Mouse body weight was quantified following implantation with 1.5 x 10</w:t>
      </w:r>
      <w:r w:rsidRPr="0087353E">
        <w:rPr>
          <w:vertAlign w:val="superscript"/>
          <w:lang w:val="en-US"/>
        </w:rPr>
        <w:t>6</w:t>
      </w:r>
      <w:r w:rsidRPr="0087353E">
        <w:rPr>
          <w:lang w:val="en-US"/>
        </w:rPr>
        <w:t xml:space="preserve"> HPAF-II cells in genO-BRGSF-HIS mice. Mouse body weight is represented per hCD34</w:t>
      </w:r>
      <w:r w:rsidRPr="0087353E">
        <w:rPr>
          <w:vertAlign w:val="superscript"/>
          <w:lang w:val="en-US"/>
        </w:rPr>
        <w:t>+</w:t>
      </w:r>
      <w:r w:rsidRPr="0087353E">
        <w:rPr>
          <w:lang w:val="en-US"/>
        </w:rPr>
        <w:t xml:space="preserve"> HSC donor. 5-6 mice were used per donor. Error bars represent standard deviation.</w:t>
      </w:r>
    </w:p>
    <w:p w14:paraId="3DE83F14" w14:textId="77777777" w:rsidR="00521959" w:rsidRDefault="00521959" w:rsidP="004D076C">
      <w:pPr>
        <w:jc w:val="both"/>
        <w:rPr>
          <w:lang w:val="en-US"/>
        </w:rPr>
      </w:pPr>
    </w:p>
    <w:p w14:paraId="5B69BA8D" w14:textId="77777777" w:rsidR="00521959" w:rsidRDefault="00521959" w:rsidP="004D076C">
      <w:pPr>
        <w:jc w:val="both"/>
        <w:rPr>
          <w:lang w:val="en-US"/>
        </w:rPr>
      </w:pPr>
    </w:p>
    <w:p w14:paraId="1CF5A55D" w14:textId="77777777" w:rsidR="00521959" w:rsidRDefault="00521959" w:rsidP="004D076C">
      <w:pPr>
        <w:jc w:val="both"/>
        <w:rPr>
          <w:lang w:val="en-US"/>
        </w:rPr>
      </w:pPr>
    </w:p>
    <w:p w14:paraId="1EF5855B" w14:textId="186FB706" w:rsidR="00521959" w:rsidRDefault="00521959" w:rsidP="004D076C">
      <w:pPr>
        <w:jc w:val="both"/>
      </w:pPr>
    </w:p>
    <w:p w14:paraId="48414978" w14:textId="15871C39" w:rsidR="00A05CD9" w:rsidRDefault="00B668F8" w:rsidP="004D076C">
      <w:pPr>
        <w:jc w:val="both"/>
      </w:pPr>
      <w:r>
        <w:object w:dxaOrig="14657" w:dyaOrig="3804" w14:anchorId="4ACDBE2C">
          <v:shape id="_x0000_i1033" type="#_x0000_t75" style="width:481.3pt;height:125.15pt" o:ole="" filled="t">
            <v:imagedata r:id="rId22" o:title=""/>
          </v:shape>
          <o:OLEObject Type="Embed" ProgID="Prism10.Document" ShapeID="_x0000_i1033" DrawAspect="Content" ObjectID="_1818317463" r:id="rId23"/>
        </w:object>
      </w:r>
    </w:p>
    <w:p w14:paraId="6271C237" w14:textId="0A5EC973" w:rsidR="00B43065" w:rsidRPr="00BE7ADC" w:rsidRDefault="007D5840" w:rsidP="00D43F81">
      <w:pPr>
        <w:jc w:val="both"/>
      </w:pPr>
      <w:r w:rsidRPr="007D5840">
        <w:rPr>
          <w:b/>
          <w:bCs/>
          <w:lang w:val="en-US"/>
        </w:rPr>
        <w:t xml:space="preserve">Supplementary Figure </w:t>
      </w:r>
      <w:r w:rsidR="00E05D60" w:rsidRPr="007D5840">
        <w:rPr>
          <w:b/>
          <w:bCs/>
          <w:lang w:val="en-US"/>
        </w:rPr>
        <w:t>1</w:t>
      </w:r>
      <w:r w:rsidR="00E05D60">
        <w:rPr>
          <w:b/>
          <w:bCs/>
          <w:lang w:val="en-US"/>
        </w:rPr>
        <w:t>1</w:t>
      </w:r>
      <w:r w:rsidR="00E05D60" w:rsidRPr="007D5840">
        <w:rPr>
          <w:b/>
          <w:bCs/>
          <w:lang w:val="en-US"/>
        </w:rPr>
        <w:t xml:space="preserve"> </w:t>
      </w:r>
      <w:r w:rsidRPr="007D5840">
        <w:rPr>
          <w:b/>
          <w:bCs/>
          <w:lang w:val="en-US"/>
        </w:rPr>
        <w:t xml:space="preserve">– The HPAF-II TME infiltration by human immune cells and its composition </w:t>
      </w:r>
      <w:r w:rsidR="00F32589">
        <w:rPr>
          <w:b/>
          <w:bCs/>
          <w:lang w:val="en-US"/>
        </w:rPr>
        <w:t>are</w:t>
      </w:r>
      <w:r w:rsidRPr="007D5840">
        <w:rPr>
          <w:b/>
          <w:bCs/>
          <w:lang w:val="en-US"/>
        </w:rPr>
        <w:t xml:space="preserve"> not hCD34</w:t>
      </w:r>
      <w:r w:rsidRPr="007D5840">
        <w:rPr>
          <w:b/>
          <w:bCs/>
          <w:vertAlign w:val="superscript"/>
          <w:lang w:val="en-US"/>
        </w:rPr>
        <w:t>+</w:t>
      </w:r>
      <w:r w:rsidRPr="007D5840">
        <w:rPr>
          <w:b/>
          <w:bCs/>
          <w:lang w:val="en-US"/>
        </w:rPr>
        <w:t xml:space="preserve"> HSC-donor dependent. (A) </w:t>
      </w:r>
      <w:r w:rsidRPr="007D5840">
        <w:rPr>
          <w:lang w:val="en-US"/>
        </w:rPr>
        <w:t>Quantification of the immune cell infiltration in the TME of HPAF-II tumors per donor at 400-500 mm</w:t>
      </w:r>
      <w:r w:rsidRPr="007D5840">
        <w:rPr>
          <w:vertAlign w:val="superscript"/>
          <w:lang w:val="en-US"/>
        </w:rPr>
        <w:t>3</w:t>
      </w:r>
      <w:r w:rsidRPr="007D5840">
        <w:rPr>
          <w:lang w:val="en-US"/>
        </w:rPr>
        <w:t>. The percentage of murine or human CD45</w:t>
      </w:r>
      <w:r w:rsidRPr="007D5840">
        <w:rPr>
          <w:vertAlign w:val="superscript"/>
          <w:lang w:val="en-US"/>
        </w:rPr>
        <w:t>+</w:t>
      </w:r>
      <w:r w:rsidRPr="007D5840">
        <w:rPr>
          <w:lang w:val="en-US"/>
        </w:rPr>
        <w:t xml:space="preserve"> cells was calculated relative to the viable cells in the tumors. The graphs represent tumors in 3-6 genO-BRGSF-HIS mice implanted with 1.5 x 10</w:t>
      </w:r>
      <w:r w:rsidRPr="007D5840">
        <w:rPr>
          <w:vertAlign w:val="superscript"/>
          <w:lang w:val="en-US"/>
        </w:rPr>
        <w:t>6</w:t>
      </w:r>
      <w:r w:rsidRPr="007D5840">
        <w:rPr>
          <w:lang w:val="en-US"/>
        </w:rPr>
        <w:t xml:space="preserve"> HPAF-II cells. </w:t>
      </w:r>
      <w:r w:rsidRPr="007D5840">
        <w:rPr>
          <w:b/>
          <w:bCs/>
          <w:lang w:val="en-US"/>
        </w:rPr>
        <w:t>(B)</w:t>
      </w:r>
      <w:r w:rsidRPr="007D5840">
        <w:rPr>
          <w:lang w:val="en-US"/>
        </w:rPr>
        <w:t xml:space="preserve"> Cytometry quantification of the cell populations present in the human immune infiltrate of the HPAF-II TME per donor. The graphs represent tumors in 3-6 genO-BRGSF-HIS mice. Error bars represent standard deviation</w:t>
      </w:r>
      <w:r w:rsidR="00F32589">
        <w:rPr>
          <w:lang w:val="en-US"/>
        </w:rPr>
        <w:t>.</w:t>
      </w:r>
      <w:r w:rsidR="00D42CCE">
        <w:rPr>
          <w:lang w:val="en-US"/>
        </w:rPr>
        <w:t xml:space="preserve"> Each data point represents individual mice.</w:t>
      </w:r>
    </w:p>
    <w:sectPr w:rsidR="00B43065" w:rsidRPr="00BE7ADC" w:rsidSect="001B5A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A7"/>
    <w:rsid w:val="00083897"/>
    <w:rsid w:val="00137E77"/>
    <w:rsid w:val="00146FD3"/>
    <w:rsid w:val="00175E0C"/>
    <w:rsid w:val="001B5A7A"/>
    <w:rsid w:val="001C2C9C"/>
    <w:rsid w:val="001E0886"/>
    <w:rsid w:val="002058BE"/>
    <w:rsid w:val="0023506B"/>
    <w:rsid w:val="00245BCC"/>
    <w:rsid w:val="0027069B"/>
    <w:rsid w:val="0027564C"/>
    <w:rsid w:val="00285E4C"/>
    <w:rsid w:val="002A32F2"/>
    <w:rsid w:val="002E3312"/>
    <w:rsid w:val="002E7868"/>
    <w:rsid w:val="002F5669"/>
    <w:rsid w:val="00322230"/>
    <w:rsid w:val="00425BA9"/>
    <w:rsid w:val="00473B06"/>
    <w:rsid w:val="004D076C"/>
    <w:rsid w:val="00521354"/>
    <w:rsid w:val="00521959"/>
    <w:rsid w:val="00581235"/>
    <w:rsid w:val="005B1FCB"/>
    <w:rsid w:val="005D2846"/>
    <w:rsid w:val="005F3108"/>
    <w:rsid w:val="00643E3F"/>
    <w:rsid w:val="00645B7A"/>
    <w:rsid w:val="006A5CCD"/>
    <w:rsid w:val="006D72BD"/>
    <w:rsid w:val="006E2DEE"/>
    <w:rsid w:val="007120E6"/>
    <w:rsid w:val="00727956"/>
    <w:rsid w:val="007447A7"/>
    <w:rsid w:val="0076201F"/>
    <w:rsid w:val="00763860"/>
    <w:rsid w:val="007778EC"/>
    <w:rsid w:val="007830FB"/>
    <w:rsid w:val="00783689"/>
    <w:rsid w:val="00790EB3"/>
    <w:rsid w:val="007D33D8"/>
    <w:rsid w:val="007D35F1"/>
    <w:rsid w:val="007D5840"/>
    <w:rsid w:val="0080121E"/>
    <w:rsid w:val="00830DA3"/>
    <w:rsid w:val="00855086"/>
    <w:rsid w:val="0087353E"/>
    <w:rsid w:val="008814D8"/>
    <w:rsid w:val="008A3EDC"/>
    <w:rsid w:val="008B1EE7"/>
    <w:rsid w:val="008D06E5"/>
    <w:rsid w:val="008E1BBB"/>
    <w:rsid w:val="008E79FC"/>
    <w:rsid w:val="00901EF0"/>
    <w:rsid w:val="00926611"/>
    <w:rsid w:val="00926843"/>
    <w:rsid w:val="00936BCD"/>
    <w:rsid w:val="00954B5B"/>
    <w:rsid w:val="0097366B"/>
    <w:rsid w:val="00981E7E"/>
    <w:rsid w:val="009A4373"/>
    <w:rsid w:val="009A461D"/>
    <w:rsid w:val="009F3F36"/>
    <w:rsid w:val="009F3F93"/>
    <w:rsid w:val="00A05CD9"/>
    <w:rsid w:val="00A15AC0"/>
    <w:rsid w:val="00A15BED"/>
    <w:rsid w:val="00A45BB0"/>
    <w:rsid w:val="00A66480"/>
    <w:rsid w:val="00AA491B"/>
    <w:rsid w:val="00AB2D54"/>
    <w:rsid w:val="00AB62AA"/>
    <w:rsid w:val="00AE3396"/>
    <w:rsid w:val="00AF3D32"/>
    <w:rsid w:val="00B102C9"/>
    <w:rsid w:val="00B165ED"/>
    <w:rsid w:val="00B348B2"/>
    <w:rsid w:val="00B37130"/>
    <w:rsid w:val="00B40142"/>
    <w:rsid w:val="00B43065"/>
    <w:rsid w:val="00B515E2"/>
    <w:rsid w:val="00B668F8"/>
    <w:rsid w:val="00B87E40"/>
    <w:rsid w:val="00BA47C7"/>
    <w:rsid w:val="00BC17BD"/>
    <w:rsid w:val="00BE7ADC"/>
    <w:rsid w:val="00C2025D"/>
    <w:rsid w:val="00C202D4"/>
    <w:rsid w:val="00C2398B"/>
    <w:rsid w:val="00D24F8F"/>
    <w:rsid w:val="00D27090"/>
    <w:rsid w:val="00D42CCE"/>
    <w:rsid w:val="00D43F81"/>
    <w:rsid w:val="00D75BFC"/>
    <w:rsid w:val="00D83C2F"/>
    <w:rsid w:val="00DB796D"/>
    <w:rsid w:val="00DD60CF"/>
    <w:rsid w:val="00DD7A04"/>
    <w:rsid w:val="00DE3E00"/>
    <w:rsid w:val="00E05D60"/>
    <w:rsid w:val="00E36506"/>
    <w:rsid w:val="00E614F5"/>
    <w:rsid w:val="00E67BFB"/>
    <w:rsid w:val="00EB33F5"/>
    <w:rsid w:val="00F04E34"/>
    <w:rsid w:val="00F32589"/>
    <w:rsid w:val="00FB0640"/>
    <w:rsid w:val="00FF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921F"/>
  <w15:chartTrackingRefBased/>
  <w15:docId w15:val="{98CBF6E6-B5AF-4C55-A06C-7FC82EE1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4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4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4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4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47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47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47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47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47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47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47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47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47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4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47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47A7"/>
    <w:rPr>
      <w:b/>
      <w:bCs/>
      <w:smallCaps/>
      <w:color w:val="2F5496" w:themeColor="accent1" w:themeShade="BF"/>
      <w:spacing w:val="5"/>
    </w:rPr>
  </w:style>
  <w:style w:type="paragraph" w:styleId="Rvision">
    <w:name w:val="Revision"/>
    <w:hidden/>
    <w:uiPriority w:val="99"/>
    <w:semiHidden/>
    <w:rsid w:val="00A664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emf"/><Relationship Id="rId18" Type="http://schemas.openxmlformats.org/officeDocument/2006/relationships/image" Target="media/image9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3.emf"/><Relationship Id="rId12" Type="http://schemas.openxmlformats.org/officeDocument/2006/relationships/oleObject" Target="embeddings/oleObject4.bin"/><Relationship Id="rId17" Type="http://schemas.openxmlformats.org/officeDocument/2006/relationships/image" Target="media/image8.tif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image" Target="media/image10.emf"/><Relationship Id="rId1" Type="http://schemas.openxmlformats.org/officeDocument/2006/relationships/styles" Target="styles.xml"/><Relationship Id="rId6" Type="http://schemas.openxmlformats.org/officeDocument/2006/relationships/image" Target="media/image2.tif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image" Target="media/image7.emf"/><Relationship Id="rId23" Type="http://schemas.openxmlformats.org/officeDocument/2006/relationships/oleObject" Target="embeddings/oleObject9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4" Type="http://schemas.openxmlformats.org/officeDocument/2006/relationships/image" Target="media/image1.emf"/><Relationship Id="rId9" Type="http://schemas.openxmlformats.org/officeDocument/2006/relationships/image" Target="media/image4.emf"/><Relationship Id="rId14" Type="http://schemas.openxmlformats.org/officeDocument/2006/relationships/oleObject" Target="embeddings/oleObject5.bin"/><Relationship Id="rId22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1019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RUIVO</dc:creator>
  <cp:keywords/>
  <dc:description/>
  <cp:lastModifiedBy>Margarida RUIVO</cp:lastModifiedBy>
  <cp:revision>61</cp:revision>
  <dcterms:created xsi:type="dcterms:W3CDTF">2025-06-26T08:16:00Z</dcterms:created>
  <dcterms:modified xsi:type="dcterms:W3CDTF">2025-09-02T09:22:00Z</dcterms:modified>
</cp:coreProperties>
</file>