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5417" w:rsidRPr="00791AEA" w:rsidRDefault="00ED5417" w:rsidP="00ED5417">
      <w:pPr>
        <w:pStyle w:val="Acknowledgement"/>
        <w:spacing w:line="480" w:lineRule="auto"/>
        <w:ind w:left="0" w:firstLine="0"/>
        <w:rPr>
          <w:b/>
        </w:rPr>
      </w:pPr>
      <w:r w:rsidRPr="00791AEA">
        <w:rPr>
          <w:b/>
        </w:rPr>
        <w:t>Supplementary materials</w:t>
      </w:r>
    </w:p>
    <w:p w:rsidR="00ED5417" w:rsidRPr="00791AEA" w:rsidRDefault="00A7204E" w:rsidP="00ED5417">
      <w:pPr>
        <w:spacing w:line="480" w:lineRule="auto"/>
        <w:jc w:val="both"/>
        <w:rPr>
          <w:color w:val="211D1E"/>
          <w:sz w:val="24"/>
          <w:szCs w:val="24"/>
        </w:rPr>
      </w:pPr>
      <w:r w:rsidRPr="00791AEA">
        <w:rPr>
          <w:noProof/>
          <w:color w:val="211D1E"/>
          <w:sz w:val="24"/>
          <w:szCs w:val="24"/>
        </w:rPr>
        <w:drawing>
          <wp:inline distT="0" distB="0" distL="0" distR="0">
            <wp:extent cx="5943600" cy="4460177"/>
            <wp:effectExtent l="19050" t="0" r="0" b="0"/>
            <wp:docPr id="1" name="Picture 1" descr="G:\Shahabuddin Hoseini\Manuscripts\CAR manuscript\CAR manuscript\submission file\Oncoimmunology\revisions\Figure S1 newest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Shahabuddin Hoseini\Manuscripts\CAR manuscript\CAR manuscript\submission file\Oncoimmunology\revisions\Figure S1 newest.wm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417" w:rsidRPr="00791AEA" w:rsidRDefault="00ED5417" w:rsidP="00ED5417">
      <w:pPr>
        <w:spacing w:line="480" w:lineRule="auto"/>
        <w:jc w:val="both"/>
        <w:rPr>
          <w:sz w:val="24"/>
          <w:szCs w:val="24"/>
        </w:rPr>
      </w:pPr>
      <w:proofErr w:type="gramStart"/>
      <w:r w:rsidRPr="00791AEA">
        <w:rPr>
          <w:b/>
          <w:bCs/>
          <w:color w:val="211D1E"/>
          <w:sz w:val="24"/>
          <w:szCs w:val="24"/>
        </w:rPr>
        <w:t>Fig S1.</w:t>
      </w:r>
      <w:proofErr w:type="gramEnd"/>
      <w:r w:rsidRPr="00791AEA">
        <w:rPr>
          <w:b/>
          <w:bCs/>
          <w:color w:val="211D1E"/>
          <w:sz w:val="24"/>
          <w:szCs w:val="24"/>
        </w:rPr>
        <w:t xml:space="preserve">  </w:t>
      </w:r>
      <w:r w:rsidRPr="00791AEA">
        <w:rPr>
          <w:color w:val="211D1E"/>
          <w:sz w:val="24"/>
          <w:szCs w:val="24"/>
        </w:rPr>
        <w:t xml:space="preserve">Anti-GD2 CART cells and BsAb-redirected T cells generate proinflammatory cytokines upon stimulation with </w:t>
      </w:r>
      <w:proofErr w:type="gramStart"/>
      <w:r w:rsidRPr="00791AEA">
        <w:rPr>
          <w:color w:val="211D1E"/>
          <w:sz w:val="24"/>
          <w:szCs w:val="24"/>
        </w:rPr>
        <w:t>GD2(</w:t>
      </w:r>
      <w:proofErr w:type="gramEnd"/>
      <w:r w:rsidRPr="00791AEA">
        <w:rPr>
          <w:color w:val="211D1E"/>
          <w:sz w:val="24"/>
          <w:szCs w:val="24"/>
        </w:rPr>
        <w:t xml:space="preserve">+) target cells. T cells that were transduced with the hu3F8CAR or left </w:t>
      </w:r>
      <w:proofErr w:type="spellStart"/>
      <w:r w:rsidRPr="00791AEA">
        <w:rPr>
          <w:color w:val="211D1E"/>
          <w:sz w:val="24"/>
          <w:szCs w:val="24"/>
        </w:rPr>
        <w:t>untransduced</w:t>
      </w:r>
      <w:proofErr w:type="spellEnd"/>
      <w:r w:rsidRPr="00791AEA">
        <w:rPr>
          <w:color w:val="211D1E"/>
          <w:sz w:val="24"/>
          <w:szCs w:val="24"/>
        </w:rPr>
        <w:t xml:space="preserve"> were expanded for 8 days and then were stimulated with irradiated IMR32luc (GD2+) or THP1 (GD2-) cells. </w:t>
      </w:r>
      <w:proofErr w:type="spellStart"/>
      <w:r w:rsidRPr="00791AEA">
        <w:rPr>
          <w:color w:val="211D1E"/>
          <w:sz w:val="24"/>
          <w:szCs w:val="24"/>
        </w:rPr>
        <w:t>Untransduced</w:t>
      </w:r>
      <w:proofErr w:type="spellEnd"/>
      <w:r w:rsidRPr="00791AEA">
        <w:rPr>
          <w:color w:val="211D1E"/>
          <w:sz w:val="24"/>
          <w:szCs w:val="24"/>
        </w:rPr>
        <w:t xml:space="preserve"> T cells received anti-GD2×anti-CD3 BsAb (BC119, 0.01</w:t>
      </w:r>
      <w:r w:rsidRPr="00791AEA">
        <w:rPr>
          <w:color w:val="211D1E"/>
          <w:sz w:val="24"/>
          <w:szCs w:val="24"/>
        </w:rPr>
        <w:sym w:font="Symbol" w:char="F06D"/>
      </w:r>
      <w:r w:rsidRPr="00791AEA">
        <w:rPr>
          <w:color w:val="211D1E"/>
          <w:sz w:val="24"/>
          <w:szCs w:val="24"/>
        </w:rPr>
        <w:t>g/ml) in the culture media. Supernatant was harvested after 24 hours and assessed for interferon-</w:t>
      </w:r>
      <w:r w:rsidRPr="00791AEA">
        <w:rPr>
          <w:color w:val="211D1E"/>
          <w:sz w:val="24"/>
          <w:szCs w:val="24"/>
        </w:rPr>
        <w:sym w:font="Symbol" w:char="F067"/>
      </w:r>
      <w:r w:rsidRPr="00791AEA">
        <w:rPr>
          <w:color w:val="211D1E"/>
          <w:sz w:val="24"/>
          <w:szCs w:val="24"/>
        </w:rPr>
        <w:t xml:space="preserve"> (IFN</w:t>
      </w:r>
      <w:r w:rsidRPr="00791AEA">
        <w:rPr>
          <w:color w:val="211D1E"/>
          <w:sz w:val="24"/>
          <w:szCs w:val="24"/>
        </w:rPr>
        <w:sym w:font="Symbol" w:char="F067"/>
      </w:r>
      <w:r w:rsidRPr="00791AEA">
        <w:rPr>
          <w:color w:val="211D1E"/>
          <w:sz w:val="24"/>
          <w:szCs w:val="24"/>
        </w:rPr>
        <w:t>)</w:t>
      </w:r>
      <w:r w:rsidR="003952F2" w:rsidRPr="00791AEA">
        <w:rPr>
          <w:color w:val="211D1E"/>
          <w:sz w:val="24"/>
          <w:szCs w:val="24"/>
        </w:rPr>
        <w:t>,</w:t>
      </w:r>
      <w:r w:rsidRPr="00791AEA">
        <w:rPr>
          <w:color w:val="211D1E"/>
          <w:sz w:val="24"/>
          <w:szCs w:val="24"/>
        </w:rPr>
        <w:t xml:space="preserve"> tumor necrosis factor-</w:t>
      </w:r>
      <w:r w:rsidRPr="00791AEA">
        <w:rPr>
          <w:color w:val="211D1E"/>
          <w:sz w:val="24"/>
          <w:szCs w:val="24"/>
        </w:rPr>
        <w:sym w:font="Symbol" w:char="F061"/>
      </w:r>
      <w:r w:rsidRPr="00791AEA">
        <w:rPr>
          <w:color w:val="211D1E"/>
          <w:sz w:val="24"/>
          <w:szCs w:val="24"/>
        </w:rPr>
        <w:t xml:space="preserve"> (TNF</w:t>
      </w:r>
      <w:r w:rsidRPr="00791AEA">
        <w:rPr>
          <w:color w:val="211D1E"/>
          <w:sz w:val="24"/>
          <w:szCs w:val="24"/>
        </w:rPr>
        <w:sym w:font="Symbol" w:char="F061"/>
      </w:r>
      <w:r w:rsidRPr="00791AEA">
        <w:rPr>
          <w:color w:val="211D1E"/>
          <w:sz w:val="24"/>
          <w:szCs w:val="24"/>
        </w:rPr>
        <w:t>)</w:t>
      </w:r>
      <w:r w:rsidR="003952F2" w:rsidRPr="00791AEA">
        <w:rPr>
          <w:color w:val="211D1E"/>
          <w:sz w:val="24"/>
          <w:szCs w:val="24"/>
        </w:rPr>
        <w:t>, interleukin-2 (IL2), IL4, and Il6</w:t>
      </w:r>
      <w:r w:rsidRPr="00791AEA">
        <w:rPr>
          <w:color w:val="211D1E"/>
          <w:sz w:val="24"/>
          <w:szCs w:val="24"/>
        </w:rPr>
        <w:t xml:space="preserve"> using ELISA assay.</w:t>
      </w:r>
    </w:p>
    <w:p w:rsidR="00ED5417" w:rsidRPr="00791AEA" w:rsidRDefault="00ED5417" w:rsidP="00ED5417">
      <w:pPr>
        <w:spacing w:line="480" w:lineRule="auto"/>
        <w:jc w:val="both"/>
        <w:rPr>
          <w:color w:val="211D1E"/>
          <w:sz w:val="24"/>
          <w:szCs w:val="24"/>
        </w:rPr>
      </w:pPr>
      <w:r w:rsidRPr="00791AEA">
        <w:rPr>
          <w:noProof/>
          <w:color w:val="211D1E"/>
          <w:sz w:val="24"/>
          <w:szCs w:val="24"/>
        </w:rPr>
        <w:lastRenderedPageBreak/>
        <w:drawing>
          <wp:inline distT="0" distB="0" distL="0" distR="0">
            <wp:extent cx="5944428" cy="4261899"/>
            <wp:effectExtent l="19050" t="0" r="0" b="0"/>
            <wp:docPr id="12" name="Picture 12" descr="G:\Shahabuddin Hoseini\Manuscripts\CAR manuscript\CAR manuscript\submission file\Fig S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:\Shahabuddin Hoseini\Manuscripts\CAR manuscript\CAR manuscript\submission file\Fig S2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4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428" cy="4261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5417" w:rsidRPr="00791AEA" w:rsidRDefault="00ED5417" w:rsidP="00ED5417">
      <w:pPr>
        <w:spacing w:line="480" w:lineRule="auto"/>
        <w:jc w:val="both"/>
        <w:rPr>
          <w:sz w:val="24"/>
          <w:szCs w:val="24"/>
        </w:rPr>
      </w:pPr>
      <w:proofErr w:type="gramStart"/>
      <w:r w:rsidRPr="00791AEA">
        <w:rPr>
          <w:b/>
          <w:bCs/>
          <w:color w:val="211D1E"/>
          <w:sz w:val="24"/>
          <w:szCs w:val="24"/>
        </w:rPr>
        <w:t>Fig  S2</w:t>
      </w:r>
      <w:proofErr w:type="gramEnd"/>
      <w:r w:rsidRPr="00791AEA">
        <w:rPr>
          <w:b/>
          <w:bCs/>
          <w:color w:val="211D1E"/>
          <w:sz w:val="24"/>
          <w:szCs w:val="24"/>
        </w:rPr>
        <w:t xml:space="preserve">. </w:t>
      </w:r>
      <w:r w:rsidRPr="00791AEA">
        <w:rPr>
          <w:color w:val="211D1E"/>
          <w:sz w:val="24"/>
          <w:szCs w:val="24"/>
        </w:rPr>
        <w:t xml:space="preserve">Anti-GD2 CART cells are depleted upon stimulation with surface-bound stimulatory antigens </w:t>
      </w:r>
      <w:r w:rsidRPr="00791AEA">
        <w:rPr>
          <w:i/>
          <w:iCs/>
          <w:color w:val="211D1E"/>
          <w:sz w:val="24"/>
          <w:szCs w:val="24"/>
        </w:rPr>
        <w:t>in vitro</w:t>
      </w:r>
      <w:r w:rsidRPr="00791AEA">
        <w:rPr>
          <w:color w:val="211D1E"/>
          <w:sz w:val="24"/>
          <w:szCs w:val="24"/>
        </w:rPr>
        <w:t>. Hu3F8CART cells (2 × 10</w:t>
      </w:r>
      <w:r w:rsidRPr="00791AEA">
        <w:rPr>
          <w:color w:val="211D1E"/>
          <w:sz w:val="24"/>
          <w:szCs w:val="24"/>
          <w:vertAlign w:val="superscript"/>
        </w:rPr>
        <w:t>6</w:t>
      </w:r>
      <w:r w:rsidRPr="00791AEA">
        <w:rPr>
          <w:color w:val="211D1E"/>
          <w:sz w:val="24"/>
          <w:szCs w:val="24"/>
        </w:rPr>
        <w:t xml:space="preserve"> cells/well) were co-incubated with surface-bound antigens. For that, GD2 or GD3 antigens (final concentration 1 </w:t>
      </w:r>
      <w:r w:rsidRPr="00791AEA">
        <w:rPr>
          <w:color w:val="211D1E"/>
          <w:sz w:val="24"/>
          <w:szCs w:val="24"/>
        </w:rPr>
        <w:sym w:font="Symbol" w:char="F06D"/>
      </w:r>
      <w:r w:rsidRPr="00791AEA">
        <w:rPr>
          <w:color w:val="211D1E"/>
          <w:sz w:val="24"/>
          <w:szCs w:val="24"/>
        </w:rPr>
        <w:t xml:space="preserve">g/ml) or anti-3F8-idiotype antibody A1G4 or control anti-5F11-idiotype antibody 1G8 (final concentration 10 </w:t>
      </w:r>
      <w:r w:rsidRPr="00791AEA">
        <w:rPr>
          <w:color w:val="211D1E"/>
          <w:sz w:val="24"/>
          <w:szCs w:val="24"/>
        </w:rPr>
        <w:sym w:font="Symbol" w:char="F06D"/>
      </w:r>
      <w:r w:rsidRPr="00791AEA">
        <w:rPr>
          <w:color w:val="211D1E"/>
          <w:sz w:val="24"/>
          <w:szCs w:val="24"/>
        </w:rPr>
        <w:t>g/ml) were coated overnight in 6-well non-culture plates at 4C. Cell count and viability was determined to investigate CART cell depletion.</w:t>
      </w:r>
    </w:p>
    <w:p w:rsidR="00ED5417" w:rsidRPr="00791AEA" w:rsidRDefault="00ED5417" w:rsidP="00ED5417">
      <w:pPr>
        <w:pStyle w:val="Paragraph"/>
        <w:spacing w:line="480" w:lineRule="auto"/>
      </w:pPr>
    </w:p>
    <w:p w:rsidR="00863DD7" w:rsidRPr="00791AEA" w:rsidRDefault="00863DD7" w:rsidP="00ED5417">
      <w:pPr>
        <w:pStyle w:val="Paragraph"/>
        <w:spacing w:line="480" w:lineRule="auto"/>
      </w:pPr>
    </w:p>
    <w:p w:rsidR="00863DD7" w:rsidRPr="00791AEA" w:rsidRDefault="00863DD7" w:rsidP="00ED5417">
      <w:pPr>
        <w:pStyle w:val="Paragraph"/>
        <w:spacing w:line="480" w:lineRule="auto"/>
      </w:pPr>
    </w:p>
    <w:p w:rsidR="00863DD7" w:rsidRPr="00791AEA" w:rsidRDefault="00863DD7" w:rsidP="00ED5417">
      <w:pPr>
        <w:pStyle w:val="Paragraph"/>
        <w:spacing w:line="480" w:lineRule="auto"/>
      </w:pPr>
    </w:p>
    <w:p w:rsidR="00863DD7" w:rsidRPr="00791AEA" w:rsidRDefault="00A7204E" w:rsidP="00ED5417">
      <w:pPr>
        <w:pStyle w:val="Paragraph"/>
        <w:spacing w:line="480" w:lineRule="auto"/>
      </w:pPr>
      <w:r w:rsidRPr="00791AEA">
        <w:rPr>
          <w:noProof/>
        </w:rPr>
        <w:lastRenderedPageBreak/>
        <w:drawing>
          <wp:inline distT="0" distB="0" distL="0" distR="0">
            <wp:extent cx="5943600" cy="4460177"/>
            <wp:effectExtent l="19050" t="0" r="0" b="0"/>
            <wp:docPr id="2" name="Picture 2" descr="G:\Shahabuddin Hoseini\Manuscripts\CAR manuscript\CAR manuscript\submission file\Oncoimmunology\revisions\Figure S3 newest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Shahabuddin Hoseini\Manuscripts\CAR manuscript\CAR manuscript\submission file\Oncoimmunology\revisions\Figure S3 newest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3DD7" w:rsidRPr="00791AEA" w:rsidRDefault="00863DD7" w:rsidP="00C508FE">
      <w:pPr>
        <w:spacing w:line="480" w:lineRule="auto"/>
        <w:jc w:val="both"/>
        <w:rPr>
          <w:bCs/>
          <w:color w:val="211D1E"/>
          <w:sz w:val="24"/>
          <w:szCs w:val="24"/>
        </w:rPr>
      </w:pPr>
      <w:proofErr w:type="gramStart"/>
      <w:r w:rsidRPr="00791AEA">
        <w:rPr>
          <w:b/>
          <w:bCs/>
          <w:color w:val="211D1E"/>
          <w:sz w:val="24"/>
          <w:szCs w:val="24"/>
        </w:rPr>
        <w:t>Fig  S3</w:t>
      </w:r>
      <w:proofErr w:type="gramEnd"/>
      <w:r w:rsidRPr="00791AEA">
        <w:rPr>
          <w:b/>
          <w:bCs/>
          <w:color w:val="211D1E"/>
          <w:sz w:val="24"/>
          <w:szCs w:val="24"/>
        </w:rPr>
        <w:t xml:space="preserve">. </w:t>
      </w:r>
      <w:r w:rsidR="00832A7C" w:rsidRPr="00791AEA">
        <w:rPr>
          <w:bCs/>
          <w:color w:val="211D1E"/>
          <w:sz w:val="24"/>
          <w:szCs w:val="24"/>
        </w:rPr>
        <w:t xml:space="preserve">PD1 and LAG3 are overexpressed on CAR and BsAb redirected T cells upon antigen stimulation. </w:t>
      </w:r>
      <w:r w:rsidR="00B00E25" w:rsidRPr="00791AEA">
        <w:rPr>
          <w:bCs/>
          <w:color w:val="211D1E"/>
          <w:sz w:val="24"/>
          <w:szCs w:val="24"/>
        </w:rPr>
        <w:t xml:space="preserve">T cells that were transduced with the hu3F8CAR (anti-GD2) or </w:t>
      </w:r>
      <w:proofErr w:type="spellStart"/>
      <w:r w:rsidR="00B00E25" w:rsidRPr="00791AEA">
        <w:rPr>
          <w:bCs/>
          <w:color w:val="211D1E"/>
          <w:sz w:val="24"/>
          <w:szCs w:val="24"/>
        </w:rPr>
        <w:t>untransduced</w:t>
      </w:r>
      <w:proofErr w:type="spellEnd"/>
      <w:r w:rsidR="00B00E25" w:rsidRPr="00791AEA">
        <w:rPr>
          <w:bCs/>
          <w:color w:val="211D1E"/>
          <w:sz w:val="24"/>
          <w:szCs w:val="24"/>
        </w:rPr>
        <w:t xml:space="preserve"> T cells</w:t>
      </w:r>
      <w:r w:rsidR="006F4DA7" w:rsidRPr="00791AEA">
        <w:rPr>
          <w:bCs/>
          <w:color w:val="211D1E"/>
          <w:sz w:val="24"/>
          <w:szCs w:val="24"/>
        </w:rPr>
        <w:t xml:space="preserve"> were expanded for an additional 8 days </w:t>
      </w:r>
      <w:r w:rsidR="00D74472" w:rsidRPr="00791AEA">
        <w:rPr>
          <w:bCs/>
          <w:color w:val="211D1E"/>
          <w:sz w:val="24"/>
          <w:szCs w:val="24"/>
        </w:rPr>
        <w:t xml:space="preserve">and </w:t>
      </w:r>
      <w:r w:rsidR="006F4DA7" w:rsidRPr="00791AEA">
        <w:rPr>
          <w:bCs/>
          <w:color w:val="211D1E"/>
          <w:sz w:val="24"/>
          <w:szCs w:val="24"/>
        </w:rPr>
        <w:t>were stimulated with irradiated IMR32luc (GD2+) cells.</w:t>
      </w:r>
      <w:r w:rsidR="00F77C27" w:rsidRPr="00791AEA">
        <w:rPr>
          <w:bCs/>
          <w:color w:val="211D1E"/>
          <w:sz w:val="24"/>
          <w:szCs w:val="24"/>
        </w:rPr>
        <w:t xml:space="preserve"> </w:t>
      </w:r>
      <w:proofErr w:type="spellStart"/>
      <w:r w:rsidR="00F77C27" w:rsidRPr="00791AEA">
        <w:rPr>
          <w:bCs/>
          <w:color w:val="211D1E"/>
          <w:sz w:val="24"/>
          <w:szCs w:val="24"/>
        </w:rPr>
        <w:t>Untransduced</w:t>
      </w:r>
      <w:proofErr w:type="spellEnd"/>
      <w:r w:rsidR="00F77C27" w:rsidRPr="00791AEA">
        <w:rPr>
          <w:bCs/>
          <w:color w:val="211D1E"/>
          <w:sz w:val="24"/>
          <w:szCs w:val="24"/>
        </w:rPr>
        <w:t xml:space="preserve"> T cells received BC119 (0.01μg/ml)</w:t>
      </w:r>
      <w:r w:rsidR="006F4DA7" w:rsidRPr="00791AEA">
        <w:rPr>
          <w:bCs/>
          <w:color w:val="211D1E"/>
          <w:sz w:val="24"/>
          <w:szCs w:val="24"/>
        </w:rPr>
        <w:t xml:space="preserve"> </w:t>
      </w:r>
      <w:r w:rsidR="00F77C27" w:rsidRPr="00791AEA">
        <w:rPr>
          <w:bCs/>
          <w:color w:val="211D1E"/>
          <w:sz w:val="24"/>
          <w:szCs w:val="24"/>
        </w:rPr>
        <w:t>or humanized anti-CD3 antibody OKT3</w:t>
      </w:r>
      <w:r w:rsidR="0028193D" w:rsidRPr="00791AEA">
        <w:rPr>
          <w:bCs/>
          <w:color w:val="211D1E"/>
          <w:sz w:val="24"/>
          <w:szCs w:val="24"/>
        </w:rPr>
        <w:t xml:space="preserve"> (30μg/ml)</w:t>
      </w:r>
      <w:r w:rsidR="00F77C27" w:rsidRPr="00791AEA">
        <w:rPr>
          <w:bCs/>
          <w:color w:val="211D1E"/>
          <w:sz w:val="24"/>
          <w:szCs w:val="24"/>
        </w:rPr>
        <w:t xml:space="preserve"> as a positive control for T cell activation. </w:t>
      </w:r>
      <w:r w:rsidR="00D74472" w:rsidRPr="00791AEA">
        <w:rPr>
          <w:bCs/>
          <w:color w:val="211D1E"/>
          <w:sz w:val="24"/>
          <w:szCs w:val="24"/>
        </w:rPr>
        <w:t xml:space="preserve">Expression of PD1 and LAG3 was determined on the cells via flow cytometry just before and also after 1.5, 5, and 24 hours of stimulation.  </w:t>
      </w:r>
    </w:p>
    <w:p w:rsidR="00ED5417" w:rsidRDefault="00ED5417" w:rsidP="00ED5417">
      <w:pPr>
        <w:spacing w:line="480" w:lineRule="auto"/>
        <w:rPr>
          <w:sz w:val="24"/>
          <w:szCs w:val="24"/>
        </w:rPr>
      </w:pPr>
    </w:p>
    <w:p w:rsidR="003B67D7" w:rsidRDefault="003B67D7" w:rsidP="00ED5417">
      <w:pPr>
        <w:spacing w:line="480" w:lineRule="auto"/>
        <w:rPr>
          <w:sz w:val="24"/>
          <w:szCs w:val="24"/>
        </w:rPr>
      </w:pPr>
    </w:p>
    <w:p w:rsidR="00B00E25" w:rsidRPr="00791AEA" w:rsidRDefault="00B00E25">
      <w:pPr>
        <w:rPr>
          <w:sz w:val="24"/>
          <w:szCs w:val="24"/>
        </w:rPr>
      </w:pPr>
    </w:p>
    <w:sectPr w:rsidR="00B00E25" w:rsidRPr="00791AEA" w:rsidSect="00265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D5417"/>
    <w:rsid w:val="000779DB"/>
    <w:rsid w:val="0015349A"/>
    <w:rsid w:val="002659C0"/>
    <w:rsid w:val="0028193D"/>
    <w:rsid w:val="0037646B"/>
    <w:rsid w:val="003952F2"/>
    <w:rsid w:val="003B67D7"/>
    <w:rsid w:val="005A203B"/>
    <w:rsid w:val="00645101"/>
    <w:rsid w:val="006F4DA7"/>
    <w:rsid w:val="007345DB"/>
    <w:rsid w:val="00791AEA"/>
    <w:rsid w:val="00832A7C"/>
    <w:rsid w:val="00863DD7"/>
    <w:rsid w:val="00876D62"/>
    <w:rsid w:val="008814C3"/>
    <w:rsid w:val="009E6E4F"/>
    <w:rsid w:val="00A7204E"/>
    <w:rsid w:val="00A91A64"/>
    <w:rsid w:val="00B00E25"/>
    <w:rsid w:val="00C508FE"/>
    <w:rsid w:val="00CA558B"/>
    <w:rsid w:val="00D74472"/>
    <w:rsid w:val="00ED5417"/>
    <w:rsid w:val="00F77C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417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knowledgement">
    <w:name w:val="Acknowledgement"/>
    <w:basedOn w:val="Normal"/>
    <w:rsid w:val="00ED5417"/>
    <w:pPr>
      <w:spacing w:before="120"/>
      <w:ind w:left="720" w:hanging="720"/>
    </w:pPr>
    <w:rPr>
      <w:rFonts w:eastAsia="Times New Roman"/>
      <w:sz w:val="24"/>
      <w:szCs w:val="24"/>
    </w:rPr>
  </w:style>
  <w:style w:type="paragraph" w:customStyle="1" w:styleId="Paragraph">
    <w:name w:val="Paragraph"/>
    <w:basedOn w:val="Normal"/>
    <w:link w:val="ParagraphChar"/>
    <w:rsid w:val="00ED5417"/>
    <w:pPr>
      <w:spacing w:before="120"/>
      <w:ind w:firstLine="720"/>
    </w:pPr>
    <w:rPr>
      <w:rFonts w:eastAsia="Times New Roman"/>
      <w:sz w:val="24"/>
      <w:szCs w:val="24"/>
    </w:rPr>
  </w:style>
  <w:style w:type="character" w:customStyle="1" w:styleId="ParagraphChar">
    <w:name w:val="Paragraph Char"/>
    <w:basedOn w:val="DefaultParagraphFont"/>
    <w:link w:val="Paragraph"/>
    <w:rsid w:val="00ED541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41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41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tiff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MSKCC</Company>
  <LinksUpToDate>false</LinksUpToDate>
  <CharactersWithSpaces>1655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ILIA BUHTOIAROV</dc:creator>
  <cp:lastModifiedBy>ILIA BUHTOIAROV</cp:lastModifiedBy>
  <cp:revision>16</cp:revision>
  <dcterms:created xsi:type="dcterms:W3CDTF">2016-10-18T00:18:00Z</dcterms:created>
  <dcterms:modified xsi:type="dcterms:W3CDTF">2017-03-17T15:44:00Z</dcterms:modified>
</cp:coreProperties>
</file>