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5DD7" w14:textId="11321251" w:rsidR="00C50BC8" w:rsidRPr="00C50BC8" w:rsidRDefault="00C50BC8">
      <w:pPr>
        <w:rPr>
          <w:rFonts w:ascii="Times New Roman" w:hAnsi="Times New Roman" w:cs="Times New Roman"/>
          <w:b/>
          <w:bCs/>
          <w:sz w:val="28"/>
          <w:szCs w:val="24"/>
        </w:rPr>
      </w:pPr>
      <w:bookmarkStart w:id="0" w:name="_Hlk216877546"/>
      <w:r w:rsidRPr="00C50BC8">
        <w:rPr>
          <w:rFonts w:ascii="Times New Roman" w:hAnsi="Times New Roman" w:cs="Times New Roman"/>
          <w:b/>
          <w:bCs/>
          <w:sz w:val="28"/>
          <w:szCs w:val="24"/>
        </w:rPr>
        <w:t>Supplementary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Materials and</w:t>
      </w:r>
      <w:r w:rsidRPr="00C50BC8">
        <w:rPr>
          <w:rFonts w:ascii="Times New Roman" w:hAnsi="Times New Roman" w:cs="Times New Roman"/>
          <w:b/>
          <w:bCs/>
          <w:sz w:val="28"/>
          <w:szCs w:val="24"/>
        </w:rPr>
        <w:t xml:space="preserve"> Methods</w:t>
      </w:r>
    </w:p>
    <w:bookmarkEnd w:id="0"/>
    <w:p w14:paraId="21B40FA1" w14:textId="77777777" w:rsidR="00C50BC8" w:rsidRPr="00C50BC8" w:rsidRDefault="00C50BC8" w:rsidP="00C50BC8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C50BC8">
        <w:rPr>
          <w:rFonts w:ascii="Times New Roman" w:hAnsi="Times New Roman" w:cs="Times New Roman"/>
          <w:b/>
          <w:bCs/>
          <w:szCs w:val="24"/>
        </w:rPr>
        <w:t>RNA sequence and pathway analysis</w:t>
      </w:r>
    </w:p>
    <w:p w14:paraId="13C85115" w14:textId="77777777" w:rsidR="00C50BC8" w:rsidRPr="00C50BC8" w:rsidRDefault="00C50BC8" w:rsidP="00C50BC8">
      <w:pPr>
        <w:spacing w:line="360" w:lineRule="auto"/>
        <w:rPr>
          <w:rFonts w:ascii="Times New Roman" w:hAnsi="Times New Roman" w:cs="Times New Roman"/>
          <w:szCs w:val="24"/>
        </w:rPr>
      </w:pPr>
      <w:r w:rsidRPr="00C50BC8">
        <w:rPr>
          <w:rFonts w:ascii="Times New Roman" w:hAnsi="Times New Roman" w:cs="Times New Roman"/>
          <w:szCs w:val="24"/>
        </w:rPr>
        <w:t xml:space="preserve">The γδ2 T cells on day 7 of cell expansion culture were activated by PMA/ionomycin for 4 hours and total RNA was extracted from Biotin-Vδ2-TCR isolated γδ2 T cells using the RNeasy Mini Kit (Qiagen) according to the manufacturer's protocol. RNA quantity and integrity were assessed using a </w:t>
      </w:r>
      <w:proofErr w:type="spellStart"/>
      <w:r w:rsidRPr="00C50BC8">
        <w:rPr>
          <w:rFonts w:ascii="Times New Roman" w:hAnsi="Times New Roman" w:cs="Times New Roman"/>
          <w:szCs w:val="24"/>
        </w:rPr>
        <w:t>NanoDrop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spectrophotometer and Agilent Bioanalyzer 2100, respectively. </w:t>
      </w:r>
    </w:p>
    <w:p w14:paraId="06DB51F2" w14:textId="77777777" w:rsidR="00C50BC8" w:rsidRPr="00C50BC8" w:rsidRDefault="00C50BC8" w:rsidP="00C50BC8">
      <w:pPr>
        <w:spacing w:line="360" w:lineRule="auto"/>
        <w:rPr>
          <w:rFonts w:ascii="Times New Roman" w:hAnsi="Times New Roman" w:cs="Times New Roman"/>
          <w:szCs w:val="24"/>
        </w:rPr>
      </w:pPr>
      <w:r w:rsidRPr="00C50BC8">
        <w:rPr>
          <w:rFonts w:ascii="Times New Roman" w:hAnsi="Times New Roman" w:cs="Times New Roman"/>
          <w:szCs w:val="24"/>
        </w:rPr>
        <w:t xml:space="preserve">RNA sequencing service was performed by Genomics </w:t>
      </w:r>
      <w:proofErr w:type="spellStart"/>
      <w:r w:rsidRPr="00C50BC8">
        <w:rPr>
          <w:rFonts w:ascii="Times New Roman" w:hAnsi="Times New Roman" w:cs="Times New Roman"/>
          <w:szCs w:val="24"/>
        </w:rPr>
        <w:t>BioSci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&amp; Tech Co., Ltd. (New Taipei City, Taiwan) on an Illumina </w:t>
      </w:r>
      <w:proofErr w:type="spellStart"/>
      <w:r w:rsidRPr="00C50BC8">
        <w:rPr>
          <w:rFonts w:ascii="Times New Roman" w:hAnsi="Times New Roman" w:cs="Times New Roman"/>
          <w:szCs w:val="24"/>
        </w:rPr>
        <w:t>NovaSeq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6000 platform. Gene expression quantification was performed with feature Counts, and differentially expressed genes (DEGs) were identified using DESeq2 with a false discovery rate (FDR) &lt; 0.05 and absolute log2 fold change ≥ 1 as the cutoff. Gene Ontology (GO) and Kyoto Encyclopedia of Genes and Genomes (KEGG) pathway enrichment analyses were conducted using the </w:t>
      </w:r>
      <w:proofErr w:type="spellStart"/>
      <w:r w:rsidRPr="00C50BC8">
        <w:rPr>
          <w:rFonts w:ascii="Times New Roman" w:hAnsi="Times New Roman" w:cs="Times New Roman"/>
          <w:szCs w:val="24"/>
        </w:rPr>
        <w:t>clusterProfiler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package in R. Gene Set Enrichment Analysis (GSEA) was performed using the GSEA software (Broad Institute) with the </w:t>
      </w:r>
      <w:proofErr w:type="spellStart"/>
      <w:r w:rsidRPr="00C50BC8">
        <w:rPr>
          <w:rFonts w:ascii="Times New Roman" w:hAnsi="Times New Roman" w:cs="Times New Roman"/>
          <w:szCs w:val="24"/>
        </w:rPr>
        <w:t>MSigDB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Hallmark and C7 immunologic signature gene sets. Visualization of enriched pathways and gene expression patterns was performed using </w:t>
      </w:r>
      <w:proofErr w:type="spellStart"/>
      <w:r w:rsidRPr="00C50BC8">
        <w:rPr>
          <w:rFonts w:ascii="Times New Roman" w:hAnsi="Times New Roman" w:cs="Times New Roman"/>
          <w:szCs w:val="24"/>
        </w:rPr>
        <w:t>pheatmap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, ggplot2, and </w:t>
      </w:r>
      <w:proofErr w:type="spellStart"/>
      <w:r w:rsidRPr="00C50BC8">
        <w:rPr>
          <w:rFonts w:ascii="Times New Roman" w:hAnsi="Times New Roman" w:cs="Times New Roman"/>
          <w:szCs w:val="24"/>
        </w:rPr>
        <w:t>EnhancedVolcano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packages in R.</w:t>
      </w:r>
    </w:p>
    <w:p w14:paraId="7374369F" w14:textId="77777777" w:rsidR="00C50BC8" w:rsidRPr="00C50BC8" w:rsidRDefault="00C50BC8" w:rsidP="00C50BC8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C50BC8">
        <w:rPr>
          <w:rFonts w:ascii="Times New Roman" w:hAnsi="Times New Roman" w:cs="Times New Roman"/>
          <w:b/>
          <w:bCs/>
          <w:szCs w:val="24"/>
        </w:rPr>
        <w:t>Quantitative real-time PCR</w:t>
      </w:r>
    </w:p>
    <w:p w14:paraId="5C5C86DF" w14:textId="16658FA2" w:rsidR="00C50BC8" w:rsidRPr="00C50BC8" w:rsidRDefault="00C50BC8" w:rsidP="00C50BC8">
      <w:pPr>
        <w:spacing w:line="360" w:lineRule="auto"/>
        <w:rPr>
          <w:rFonts w:ascii="Times New Roman" w:hAnsi="Times New Roman" w:cs="Times New Roman" w:hint="eastAsia"/>
          <w:szCs w:val="24"/>
        </w:rPr>
      </w:pPr>
      <w:r w:rsidRPr="00C50BC8">
        <w:rPr>
          <w:rFonts w:ascii="Times New Roman" w:hAnsi="Times New Roman" w:cs="Times New Roman"/>
          <w:szCs w:val="24"/>
        </w:rPr>
        <w:t xml:space="preserve">Total RNA was extracted using the RNeasy Micro Kit (Qiagen), and cDNA was synthesized with the </w:t>
      </w:r>
      <w:proofErr w:type="spellStart"/>
      <w:r w:rsidRPr="00C50BC8">
        <w:rPr>
          <w:rFonts w:ascii="Times New Roman" w:hAnsi="Times New Roman" w:cs="Times New Roman"/>
          <w:szCs w:val="24"/>
        </w:rPr>
        <w:t>SuperScript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III enzyme (Invitrogen). All primers were purchased from Genomics </w:t>
      </w:r>
      <w:proofErr w:type="spellStart"/>
      <w:r w:rsidRPr="00C50BC8">
        <w:rPr>
          <w:rFonts w:ascii="Times New Roman" w:hAnsi="Times New Roman" w:cs="Times New Roman"/>
          <w:szCs w:val="24"/>
        </w:rPr>
        <w:t>BioSci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&amp; Tech Co. (listed in </w:t>
      </w:r>
      <w:r w:rsidRPr="00C50BC8">
        <w:rPr>
          <w:rFonts w:ascii="Times New Roman" w:hAnsi="Times New Roman" w:cs="Times New Roman"/>
          <w:b/>
          <w:bCs/>
          <w:szCs w:val="24"/>
        </w:rPr>
        <w:t>supplementary</w:t>
      </w:r>
      <w:r w:rsidRPr="00C50BC8">
        <w:rPr>
          <w:rFonts w:ascii="Times New Roman" w:hAnsi="Times New Roman" w:cs="Times New Roman"/>
          <w:szCs w:val="24"/>
        </w:rPr>
        <w:t xml:space="preserve"> </w:t>
      </w:r>
      <w:r w:rsidRPr="00C50BC8">
        <w:rPr>
          <w:rFonts w:ascii="Times New Roman" w:hAnsi="Times New Roman" w:cs="Times New Roman"/>
          <w:b/>
          <w:bCs/>
          <w:szCs w:val="24"/>
        </w:rPr>
        <w:t>Table S2</w:t>
      </w:r>
      <w:r w:rsidRPr="00C50BC8">
        <w:rPr>
          <w:rFonts w:ascii="Times New Roman" w:hAnsi="Times New Roman" w:cs="Times New Roman"/>
          <w:szCs w:val="24"/>
        </w:rPr>
        <w:t xml:space="preserve">). Quantitative real-time PCR was performed in triplicate using the Bio-Rad CFX96 Real-Time PCR Detection System with SYBR Green chemistry. Relative gene expression was calculated using the </w:t>
      </w:r>
      <w:proofErr w:type="spellStart"/>
      <w:r w:rsidRPr="00C50BC8">
        <w:rPr>
          <w:rFonts w:ascii="Times New Roman" w:hAnsi="Times New Roman" w:cs="Times New Roman"/>
          <w:szCs w:val="24"/>
        </w:rPr>
        <w:t>ΔΔCt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method, normalized to GAPDH as the internal control.</w:t>
      </w:r>
    </w:p>
    <w:p w14:paraId="7DF4B46E" w14:textId="77777777" w:rsidR="00C50BC8" w:rsidRPr="00C50BC8" w:rsidRDefault="00C50BC8" w:rsidP="00C50BC8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C50BC8">
        <w:rPr>
          <w:rFonts w:ascii="Times New Roman" w:hAnsi="Times New Roman" w:cs="Times New Roman"/>
          <w:b/>
          <w:bCs/>
          <w:szCs w:val="24"/>
        </w:rPr>
        <w:t>Caspase 3/7 activities assay</w:t>
      </w:r>
    </w:p>
    <w:p w14:paraId="2FBAC950" w14:textId="77777777" w:rsidR="00C50BC8" w:rsidRPr="00C50BC8" w:rsidRDefault="00C50BC8" w:rsidP="00C50BC8">
      <w:pPr>
        <w:spacing w:line="360" w:lineRule="auto"/>
        <w:rPr>
          <w:rFonts w:ascii="Times New Roman" w:hAnsi="Times New Roman" w:cs="Times New Roman"/>
          <w:szCs w:val="24"/>
        </w:rPr>
      </w:pPr>
      <w:r w:rsidRPr="00C50BC8">
        <w:rPr>
          <w:rFonts w:ascii="Times New Roman" w:hAnsi="Times New Roman" w:cs="Times New Roman"/>
          <w:szCs w:val="24"/>
        </w:rPr>
        <w:t xml:space="preserve">Apoptosis was assessed using the </w:t>
      </w:r>
      <w:proofErr w:type="spellStart"/>
      <w:r w:rsidRPr="00C50BC8">
        <w:rPr>
          <w:rFonts w:ascii="Times New Roman" w:hAnsi="Times New Roman" w:cs="Times New Roman"/>
          <w:szCs w:val="24"/>
        </w:rPr>
        <w:t>CellEvent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™ Caspase-3/7 Green Detection Reagent (Cat. </w:t>
      </w:r>
      <w:r w:rsidRPr="00C50BC8">
        <w:rPr>
          <w:rFonts w:ascii="Times New Roman" w:hAnsi="Times New Roman" w:cs="Times New Roman"/>
          <w:szCs w:val="24"/>
        </w:rPr>
        <w:lastRenderedPageBreak/>
        <w:t>No. C10434, Thermo Fisher Scientific, Waltham, MA, USA), which emits green fluorescence upon cleavage by activated caspase-3/7. The lyophilized reagent was reconstituted in PBS to prepare a 100× stock solution and diluted 1:100 in complete culture medium. Cells were incubated with the staining solution at 37 °C for 30 minutes. After staining, cells were returned to standard culture conditions (37 °C, 5% CO₂) and maintained overnight without washing. Green fluorescence was observed the following day using a fluorescence microscope equipped with a FITC/GFP filter set.</w:t>
      </w:r>
    </w:p>
    <w:p w14:paraId="15E85199" w14:textId="77777777" w:rsidR="00C50BC8" w:rsidRPr="00C50BC8" w:rsidRDefault="00C50BC8" w:rsidP="00C50BC8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C50BC8">
        <w:rPr>
          <w:rFonts w:ascii="Times New Roman" w:hAnsi="Times New Roman" w:cs="Times New Roman"/>
          <w:b/>
          <w:bCs/>
          <w:szCs w:val="24"/>
        </w:rPr>
        <w:t>Co-culture cytotoxicity assays</w:t>
      </w:r>
    </w:p>
    <w:p w14:paraId="0C8F1CF9" w14:textId="78823EF6" w:rsidR="00C50BC8" w:rsidRDefault="00C50BC8" w:rsidP="00C50BC8">
      <w:pPr>
        <w:spacing w:line="360" w:lineRule="auto"/>
        <w:rPr>
          <w:rFonts w:ascii="Times New Roman" w:hAnsi="Times New Roman" w:cs="Times New Roman"/>
          <w:szCs w:val="24"/>
        </w:rPr>
      </w:pPr>
      <w:r w:rsidRPr="00C50BC8">
        <w:rPr>
          <w:rFonts w:ascii="Times New Roman" w:hAnsi="Times New Roman" w:cs="Times New Roman"/>
          <w:szCs w:val="24"/>
        </w:rPr>
        <w:t xml:space="preserve">Expanded human </w:t>
      </w:r>
      <w:proofErr w:type="spellStart"/>
      <w:r w:rsidRPr="00C50BC8">
        <w:rPr>
          <w:rFonts w:ascii="Times New Roman" w:hAnsi="Times New Roman" w:cs="Times New Roman"/>
          <w:szCs w:val="24"/>
        </w:rPr>
        <w:t>γδ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T cells on day 7, 10, or 13 were used. </w:t>
      </w:r>
      <w:bookmarkStart w:id="1" w:name="_Hlk217908357"/>
      <w:r w:rsidR="004D5748" w:rsidRPr="004D5748">
        <w:rPr>
          <w:rFonts w:ascii="Times New Roman" w:hAnsi="Times New Roman" w:cs="Times New Roman"/>
          <w:szCs w:val="24"/>
        </w:rPr>
        <w:t xml:space="preserve">Before co-culture, </w:t>
      </w:r>
      <w:proofErr w:type="spellStart"/>
      <w:r w:rsidR="004D5748" w:rsidRPr="004D5748">
        <w:rPr>
          <w:rFonts w:ascii="Times New Roman" w:hAnsi="Times New Roman" w:cs="Times New Roman"/>
          <w:szCs w:val="24"/>
        </w:rPr>
        <w:t>γδ</w:t>
      </w:r>
      <w:proofErr w:type="spellEnd"/>
      <w:r w:rsidR="004D5748" w:rsidRPr="004D5748">
        <w:rPr>
          <w:rFonts w:ascii="Times New Roman" w:hAnsi="Times New Roman" w:cs="Times New Roman"/>
          <w:szCs w:val="24"/>
        </w:rPr>
        <w:t xml:space="preserve"> T cells were washed and maintained in </w:t>
      </w:r>
      <w:proofErr w:type="spellStart"/>
      <w:r w:rsidR="004D5748" w:rsidRPr="004D5748">
        <w:rPr>
          <w:rFonts w:ascii="Times New Roman" w:hAnsi="Times New Roman" w:cs="Times New Roman"/>
          <w:szCs w:val="24"/>
        </w:rPr>
        <w:t>dasatinib</w:t>
      </w:r>
      <w:proofErr w:type="spellEnd"/>
      <w:r w:rsidR="004D5748" w:rsidRPr="004D5748">
        <w:rPr>
          <w:rFonts w:ascii="Times New Roman" w:hAnsi="Times New Roman" w:cs="Times New Roman"/>
          <w:szCs w:val="24"/>
        </w:rPr>
        <w:t>-free medium for 24 hours to minimize residual drug effects.</w:t>
      </w:r>
      <w:bookmarkEnd w:id="1"/>
      <w:r w:rsidRPr="00C50BC8">
        <w:rPr>
          <w:rFonts w:ascii="Times New Roman" w:hAnsi="Times New Roman" w:cs="Times New Roman"/>
          <w:szCs w:val="24"/>
        </w:rPr>
        <w:t xml:space="preserve"> The </w:t>
      </w:r>
      <w:proofErr w:type="spellStart"/>
      <w:r w:rsidRPr="00C50BC8">
        <w:rPr>
          <w:rFonts w:ascii="Times New Roman" w:hAnsi="Times New Roman" w:cs="Times New Roman"/>
          <w:szCs w:val="24"/>
        </w:rPr>
        <w:t>γδ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T cells were then co-cultured with the indicated target tumor cells at effector-to-target (</w:t>
      </w:r>
      <w:proofErr w:type="gramStart"/>
      <w:r w:rsidRPr="00C50BC8">
        <w:rPr>
          <w:rFonts w:ascii="Times New Roman" w:hAnsi="Times New Roman" w:cs="Times New Roman"/>
          <w:szCs w:val="24"/>
        </w:rPr>
        <w:t>E:T</w:t>
      </w:r>
      <w:proofErr w:type="gramEnd"/>
      <w:r w:rsidRPr="00C50BC8">
        <w:rPr>
          <w:rFonts w:ascii="Times New Roman" w:hAnsi="Times New Roman" w:cs="Times New Roman"/>
          <w:szCs w:val="24"/>
        </w:rPr>
        <w:t xml:space="preserve">) ratios of 1:1 in 96-well plates for 4 hours at 37 °C. </w:t>
      </w:r>
      <w:r w:rsidR="007650A9">
        <w:rPr>
          <w:rFonts w:ascii="Times New Roman" w:hAnsi="Times New Roman" w:cs="Times New Roman" w:hint="eastAsia"/>
          <w:szCs w:val="24"/>
        </w:rPr>
        <w:t xml:space="preserve">For the </w:t>
      </w:r>
      <w:r w:rsidR="007650A9">
        <w:rPr>
          <w:rFonts w:ascii="Times New Roman" w:hAnsi="Times New Roman" w:cs="Times New Roman"/>
          <w:szCs w:val="24"/>
        </w:rPr>
        <w:t>long-term</w:t>
      </w:r>
      <w:r w:rsidR="007650A9">
        <w:rPr>
          <w:rFonts w:ascii="Times New Roman" w:hAnsi="Times New Roman" w:cs="Times New Roman" w:hint="eastAsia"/>
          <w:szCs w:val="24"/>
        </w:rPr>
        <w:t xml:space="preserve"> </w:t>
      </w:r>
      <w:r w:rsidR="007650A9" w:rsidRPr="007650A9">
        <w:rPr>
          <w:rFonts w:ascii="Times New Roman" w:hAnsi="Times New Roman" w:cs="Times New Roman"/>
          <w:szCs w:val="24"/>
        </w:rPr>
        <w:t xml:space="preserve">serial killing </w:t>
      </w:r>
      <w:r w:rsidR="007650A9">
        <w:rPr>
          <w:rFonts w:ascii="Times New Roman" w:hAnsi="Times New Roman" w:cs="Times New Roman" w:hint="eastAsia"/>
          <w:szCs w:val="24"/>
        </w:rPr>
        <w:t>assay, t</w:t>
      </w:r>
      <w:r w:rsidR="007650A9" w:rsidRPr="00C50BC8">
        <w:rPr>
          <w:rFonts w:ascii="Times New Roman" w:hAnsi="Times New Roman" w:cs="Times New Roman"/>
          <w:szCs w:val="24"/>
        </w:rPr>
        <w:t xml:space="preserve">he </w:t>
      </w:r>
      <w:proofErr w:type="spellStart"/>
      <w:r w:rsidR="007650A9" w:rsidRPr="00C50BC8">
        <w:rPr>
          <w:rFonts w:ascii="Times New Roman" w:hAnsi="Times New Roman" w:cs="Times New Roman"/>
          <w:szCs w:val="24"/>
        </w:rPr>
        <w:t>γδ</w:t>
      </w:r>
      <w:proofErr w:type="spellEnd"/>
      <w:r w:rsidR="007650A9" w:rsidRPr="00C50BC8">
        <w:rPr>
          <w:rFonts w:ascii="Times New Roman" w:hAnsi="Times New Roman" w:cs="Times New Roman"/>
          <w:szCs w:val="24"/>
        </w:rPr>
        <w:t xml:space="preserve"> T cells were co-cultured with</w:t>
      </w:r>
      <w:r w:rsidR="007650A9">
        <w:rPr>
          <w:rFonts w:ascii="Times New Roman" w:hAnsi="Times New Roman" w:cs="Times New Roman" w:hint="eastAsia"/>
          <w:szCs w:val="24"/>
        </w:rPr>
        <w:t xml:space="preserve"> GBM8901 cells for 24 hours at 1:1 </w:t>
      </w:r>
      <w:proofErr w:type="gramStart"/>
      <w:r w:rsidR="007650A9">
        <w:rPr>
          <w:rFonts w:ascii="Times New Roman" w:hAnsi="Times New Roman" w:cs="Times New Roman" w:hint="eastAsia"/>
          <w:szCs w:val="24"/>
        </w:rPr>
        <w:t>E;T</w:t>
      </w:r>
      <w:proofErr w:type="gramEnd"/>
      <w:r w:rsidR="007650A9">
        <w:rPr>
          <w:rFonts w:ascii="Times New Roman" w:hAnsi="Times New Roman" w:cs="Times New Roman" w:hint="eastAsia"/>
          <w:szCs w:val="24"/>
        </w:rPr>
        <w:t xml:space="preserve"> ration. </w:t>
      </w:r>
      <w:r w:rsidR="007650A9" w:rsidRPr="007650A9">
        <w:rPr>
          <w:rFonts w:ascii="Times New Roman" w:hAnsi="Times New Roman" w:cs="Times New Roman"/>
          <w:szCs w:val="24"/>
        </w:rPr>
        <w:t xml:space="preserve">Afterward, </w:t>
      </w:r>
      <w:proofErr w:type="spellStart"/>
      <w:r w:rsidR="007650A9" w:rsidRPr="007650A9">
        <w:rPr>
          <w:rFonts w:ascii="Times New Roman" w:hAnsi="Times New Roman" w:cs="Times New Roman"/>
          <w:szCs w:val="24"/>
        </w:rPr>
        <w:t>γδ</w:t>
      </w:r>
      <w:proofErr w:type="spellEnd"/>
      <w:r w:rsidR="007650A9" w:rsidRPr="007650A9">
        <w:rPr>
          <w:rFonts w:ascii="Times New Roman" w:hAnsi="Times New Roman" w:cs="Times New Roman"/>
          <w:szCs w:val="24"/>
        </w:rPr>
        <w:t xml:space="preserve"> T cells were harvested</w:t>
      </w:r>
      <w:r w:rsidR="007650A9">
        <w:rPr>
          <w:rFonts w:ascii="Times New Roman" w:hAnsi="Times New Roman" w:cs="Times New Roman" w:hint="eastAsia"/>
          <w:szCs w:val="24"/>
        </w:rPr>
        <w:t xml:space="preserve"> </w:t>
      </w:r>
      <w:r w:rsidR="007650A9" w:rsidRPr="007650A9">
        <w:rPr>
          <w:rFonts w:ascii="Times New Roman" w:hAnsi="Times New Roman" w:cs="Times New Roman"/>
          <w:szCs w:val="24"/>
        </w:rPr>
        <w:t>and immediately re-seeded with fresh target cells at the same E:T ratio (1:1) for a second 24-hour co-culture.</w:t>
      </w:r>
      <w:r w:rsidR="007650A9">
        <w:rPr>
          <w:rFonts w:ascii="Times New Roman" w:hAnsi="Times New Roman" w:cs="Times New Roman" w:hint="eastAsia"/>
          <w:szCs w:val="24"/>
        </w:rPr>
        <w:t xml:space="preserve"> </w:t>
      </w:r>
      <w:r w:rsidRPr="00C50BC8">
        <w:rPr>
          <w:rFonts w:ascii="Times New Roman" w:hAnsi="Times New Roman" w:cs="Times New Roman"/>
          <w:szCs w:val="24"/>
        </w:rPr>
        <w:t>Following co-culture, cells were harvested and stained with Annexin V and 7-AAD using the Annexin V Apoptosis Detection Kit (</w:t>
      </w:r>
      <w:proofErr w:type="spellStart"/>
      <w:r w:rsidRPr="00C50BC8">
        <w:rPr>
          <w:rFonts w:ascii="Times New Roman" w:hAnsi="Times New Roman" w:cs="Times New Roman"/>
          <w:szCs w:val="24"/>
        </w:rPr>
        <w:t>BioLegend</w:t>
      </w:r>
      <w:proofErr w:type="spellEnd"/>
      <w:r w:rsidRPr="00C50BC8">
        <w:rPr>
          <w:rFonts w:ascii="Times New Roman" w:hAnsi="Times New Roman" w:cs="Times New Roman"/>
          <w:szCs w:val="24"/>
        </w:rPr>
        <w:t>, Cat. No. 640922) for 15 minutes at room temperature in the dark. Samples were analyzed by flow cytometry, and the percentage of Annexin V⁺/7-AAD⁺ cells was used to quantify tumor cell death and evaluate cytotoxic activity.</w:t>
      </w:r>
    </w:p>
    <w:p w14:paraId="5B89A236" w14:textId="77777777" w:rsidR="00045A4E" w:rsidRPr="007F1813" w:rsidRDefault="00045A4E" w:rsidP="00045A4E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7F1813">
        <w:rPr>
          <w:rFonts w:ascii="Times New Roman" w:hAnsi="Times New Roman" w:cs="Times New Roman"/>
          <w:b/>
          <w:bCs/>
          <w:szCs w:val="24"/>
        </w:rPr>
        <w:t xml:space="preserve">Statistical analysis </w:t>
      </w:r>
    </w:p>
    <w:p w14:paraId="500F7778" w14:textId="2DBBED0D" w:rsidR="00C50BC8" w:rsidRPr="007A1524" w:rsidRDefault="00045A4E" w:rsidP="007A1524">
      <w:pPr>
        <w:spacing w:line="360" w:lineRule="auto"/>
        <w:rPr>
          <w:rFonts w:ascii="Times New Roman" w:hAnsi="Times New Roman" w:cs="Times New Roman" w:hint="eastAsia"/>
          <w:szCs w:val="24"/>
        </w:rPr>
      </w:pPr>
      <w:r w:rsidRPr="007F1813">
        <w:rPr>
          <w:rFonts w:ascii="Times New Roman" w:hAnsi="Times New Roman" w:cs="Times New Roman"/>
          <w:szCs w:val="24"/>
        </w:rPr>
        <w:t>GraphPad Prism 8 was used as statistical software in this study. The data are presented as the mean SD or SEM. The significance of survival time between the PBS</w:t>
      </w:r>
      <w:r w:rsidRPr="007F1813">
        <w:rPr>
          <w:rFonts w:ascii="Times New Roman" w:hAnsi="Times New Roman" w:cs="Times New Roman" w:hint="eastAsia"/>
          <w:szCs w:val="24"/>
        </w:rPr>
        <w:t>-</w:t>
      </w:r>
      <w:r w:rsidRPr="007F1813">
        <w:rPr>
          <w:rFonts w:ascii="Times New Roman" w:hAnsi="Times New Roman" w:cs="Times New Roman"/>
          <w:szCs w:val="24"/>
        </w:rPr>
        <w:t xml:space="preserve">treated and </w:t>
      </w:r>
      <w:proofErr w:type="spellStart"/>
      <w:r w:rsidRPr="007F1813">
        <w:rPr>
          <w:rFonts w:ascii="Times New Roman" w:hAnsi="Times New Roman" w:cs="Times New Roman"/>
          <w:szCs w:val="24"/>
        </w:rPr>
        <w:t>dasatinib</w:t>
      </w:r>
      <w:proofErr w:type="spellEnd"/>
      <w:r w:rsidRPr="007F1813">
        <w:rPr>
          <w:rFonts w:ascii="Times New Roman" w:hAnsi="Times New Roman" w:cs="Times New Roman"/>
          <w:szCs w:val="24"/>
        </w:rPr>
        <w:t>-treated groups was determined via Kaplan–Meier survival analysis. For the remaining experiments, p-values were calculated using the two-tailed Student’s t-test or ANOVA test. Differences were considered significant at p &lt; 0.05.</w:t>
      </w:r>
    </w:p>
    <w:sectPr w:rsidR="00C50BC8" w:rsidRPr="007A1524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89405" w14:textId="77777777" w:rsidR="00065379" w:rsidRDefault="00065379" w:rsidP="00045A4E">
      <w:r>
        <w:separator/>
      </w:r>
    </w:p>
  </w:endnote>
  <w:endnote w:type="continuationSeparator" w:id="0">
    <w:p w14:paraId="4B9A53A8" w14:textId="77777777" w:rsidR="00065379" w:rsidRDefault="00065379" w:rsidP="00045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26A9D" w14:textId="77777777" w:rsidR="00065379" w:rsidRDefault="00065379" w:rsidP="00045A4E">
      <w:r>
        <w:separator/>
      </w:r>
    </w:p>
  </w:footnote>
  <w:footnote w:type="continuationSeparator" w:id="0">
    <w:p w14:paraId="2F8CC9AA" w14:textId="77777777" w:rsidR="00065379" w:rsidRDefault="00065379" w:rsidP="00045A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C8"/>
    <w:rsid w:val="00045A4E"/>
    <w:rsid w:val="00065379"/>
    <w:rsid w:val="000E40C3"/>
    <w:rsid w:val="00176E91"/>
    <w:rsid w:val="001F2582"/>
    <w:rsid w:val="0029012D"/>
    <w:rsid w:val="004D5748"/>
    <w:rsid w:val="006221BD"/>
    <w:rsid w:val="00627C98"/>
    <w:rsid w:val="006D5E66"/>
    <w:rsid w:val="0072714C"/>
    <w:rsid w:val="007650A9"/>
    <w:rsid w:val="007A1524"/>
    <w:rsid w:val="00853713"/>
    <w:rsid w:val="009724DE"/>
    <w:rsid w:val="00B63F89"/>
    <w:rsid w:val="00B836CA"/>
    <w:rsid w:val="00BD4E5D"/>
    <w:rsid w:val="00C23F36"/>
    <w:rsid w:val="00C50BC8"/>
    <w:rsid w:val="00D12B10"/>
    <w:rsid w:val="00FC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DA41A"/>
  <w15:chartTrackingRefBased/>
  <w15:docId w15:val="{5FE2B522-0A8C-4875-AF1F-8425D894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5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45A4E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45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45A4E"/>
    <w:rPr>
      <w:sz w:val="20"/>
      <w:szCs w:val="20"/>
    </w:rPr>
  </w:style>
  <w:style w:type="paragraph" w:styleId="Revision">
    <w:name w:val="Revision"/>
    <w:hidden/>
    <w:uiPriority w:val="99"/>
    <w:semiHidden/>
    <w:rsid w:val="00B83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chiunghui.liu@gmail.com</dc:creator>
  <cp:keywords/>
  <dc:description/>
  <cp:lastModifiedBy>chiunghui.liu@gmail.com</cp:lastModifiedBy>
  <cp:revision>2</cp:revision>
  <dcterms:created xsi:type="dcterms:W3CDTF">2026-01-09T12:55:00Z</dcterms:created>
  <dcterms:modified xsi:type="dcterms:W3CDTF">2026-01-09T12:55:00Z</dcterms:modified>
</cp:coreProperties>
</file>