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9E24" w14:textId="77777777" w:rsidR="00AC564A" w:rsidRPr="00426803" w:rsidRDefault="00AC564A" w:rsidP="00AC564A">
      <w:pPr>
        <w:pStyle w:val="Normaalweb"/>
      </w:pPr>
      <w:r w:rsidRPr="00426803">
        <w:rPr>
          <w:noProof/>
        </w:rPr>
        <w:drawing>
          <wp:inline distT="0" distB="0" distL="0" distR="0" wp14:anchorId="6997BB9E" wp14:editId="6B96DD16">
            <wp:extent cx="4328160" cy="7853065"/>
            <wp:effectExtent l="0" t="0" r="0" b="0"/>
            <wp:docPr id="1015002018" name="Afbeelding 1015002018" descr="Afbeelding met tekst, diagram, Plan, Parall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02018" name="Afbeelding 1015002018" descr="Afbeelding met tekst, diagram, Plan, Paralle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115" cy="7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9A63" w14:textId="3323CD69" w:rsidR="009D14C4" w:rsidRPr="00426803" w:rsidRDefault="006745A8" w:rsidP="009D14C4">
      <w:pPr>
        <w:pStyle w:val="MDPI51figurecaption"/>
        <w:spacing w:before="0" w:after="0"/>
        <w:rPr>
          <w:rFonts w:ascii="Times New Roman" w:hAnsi="Times New Roman"/>
          <w:color w:val="auto"/>
          <w:sz w:val="24"/>
          <w:szCs w:val="24"/>
        </w:rPr>
      </w:pP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 xml:space="preserve">Figure </w:t>
      </w:r>
      <w:r w:rsidR="00682DD0" w:rsidRPr="00426803">
        <w:rPr>
          <w:rFonts w:ascii="Times New Roman" w:hAnsi="Times New Roman"/>
          <w:b/>
          <w:bCs/>
          <w:color w:val="auto"/>
          <w:sz w:val="24"/>
          <w:szCs w:val="24"/>
        </w:rPr>
        <w:t>S1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>. Expression of activation markers in response to WT1-specific recognition in expanded primary CD4 T</w:t>
      </w:r>
      <w:r w:rsidR="0028207D" w:rsidRPr="00426803">
        <w:rPr>
          <w:rFonts w:ascii="Times New Roman" w:hAnsi="Times New Roman"/>
          <w:b/>
          <w:bCs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 xml:space="preserve">cells. </w:t>
      </w:r>
      <w:r w:rsidRPr="00426803">
        <w:rPr>
          <w:rFonts w:ascii="Times New Roman" w:hAnsi="Times New Roman"/>
          <w:color w:val="auto"/>
          <w:sz w:val="24"/>
          <w:szCs w:val="24"/>
        </w:rPr>
        <w:t>Upregulation of CD25, CD69, CD137 and CD154 expression (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>A</w:t>
      </w:r>
      <w:r w:rsidRPr="00426803">
        <w:rPr>
          <w:rFonts w:ascii="Times New Roman" w:hAnsi="Times New Roman"/>
          <w:color w:val="auto"/>
          <w:sz w:val="24"/>
          <w:szCs w:val="24"/>
        </w:rPr>
        <w:t>)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and </w:t>
      </w:r>
      <w:r w:rsidRPr="00426803">
        <w:rPr>
          <w:rFonts w:ascii="Times New Roman" w:hAnsi="Times New Roman"/>
          <w:color w:val="auto"/>
          <w:sz w:val="24"/>
          <w:szCs w:val="24"/>
        </w:rPr>
        <w:lastRenderedPageBreak/>
        <w:t>downregulation of CD127 expression (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>B</w:t>
      </w:r>
      <w:r w:rsidRPr="00426803">
        <w:rPr>
          <w:rFonts w:ascii="Times New Roman" w:hAnsi="Times New Roman"/>
          <w:color w:val="auto"/>
          <w:sz w:val="24"/>
          <w:szCs w:val="24"/>
        </w:rPr>
        <w:t>) in T37 TCR-redirected CD4 T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cells were measured 24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h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>r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after co-culture with tumor cell lines that were pulsed (PP) with WT1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t>37-45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peptide or left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unpulsed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(NP). As a negative control, T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color w:val="auto"/>
          <w:sz w:val="24"/>
          <w:szCs w:val="24"/>
        </w:rPr>
        <w:t>cells were cultured in the absence of target cells (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>‘</w:t>
      </w:r>
      <w:r w:rsidRPr="00426803">
        <w:rPr>
          <w:rFonts w:ascii="Times New Roman" w:hAnsi="Times New Roman"/>
          <w:color w:val="auto"/>
          <w:sz w:val="24"/>
          <w:szCs w:val="24"/>
        </w:rPr>
        <w:t>T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426803">
        <w:rPr>
          <w:rFonts w:ascii="Times New Roman" w:hAnsi="Times New Roman"/>
          <w:color w:val="auto"/>
          <w:sz w:val="24"/>
          <w:szCs w:val="24"/>
        </w:rPr>
        <w:t>cells only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>’ condition</w:t>
      </w:r>
      <w:r w:rsidRPr="00426803">
        <w:rPr>
          <w:rFonts w:ascii="Times New Roman" w:hAnsi="Times New Roman"/>
          <w:color w:val="auto"/>
          <w:sz w:val="24"/>
          <w:szCs w:val="24"/>
        </w:rPr>
        <w:t>). As a positive control, T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cells were cultured in the presence of phorbol 12-myristate 13-acetate and ionomycin (PMA+ION). Graphs represent mean ± SD values for 4-6 independent donors and were analyzed using two-way ANOVA followed by Tukey’s multiple comparison test (ns, not significant; </w:t>
      </w:r>
      <w:r w:rsidR="00920C71" w:rsidRPr="00426803">
        <w:rPr>
          <w:rFonts w:ascii="Times New Roman" w:hAnsi="Times New Roman"/>
          <w:color w:val="auto"/>
          <w:sz w:val="24"/>
          <w:szCs w:val="24"/>
        </w:rPr>
        <w:t xml:space="preserve">*, 0.01 &lt; </w:t>
      </w:r>
      <w:r w:rsidR="00920C71"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P </w:t>
      </w:r>
      <w:r w:rsidR="00920C71" w:rsidRPr="00426803">
        <w:rPr>
          <w:rFonts w:ascii="Times New Roman" w:hAnsi="Times New Roman"/>
          <w:color w:val="auto"/>
          <w:sz w:val="24"/>
          <w:szCs w:val="24"/>
        </w:rPr>
        <w:t>&lt; 0.05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; ***,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P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≤ 0.001; ****,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P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 ≤ 0.0001). MM, control double sequential mock electroporation; ST37, double sequential electroporation, first with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DsiRNA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directed against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TRAC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and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 xml:space="preserve"> against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TRBC </w:t>
      </w:r>
      <w:r w:rsidRPr="00426803">
        <w:rPr>
          <w:rFonts w:ascii="Times New Roman" w:hAnsi="Times New Roman"/>
          <w:color w:val="auto"/>
          <w:sz w:val="24"/>
          <w:szCs w:val="24"/>
        </w:rPr>
        <w:t>mRNA,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 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followed by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WT1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  <w:vertAlign w:val="subscript"/>
        </w:rPr>
        <w:t>37-45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 TCR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mRNA electroporation; +CD8,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CD8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mRNA co-electroporated with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TCR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mRNA.</w:t>
      </w:r>
    </w:p>
    <w:p w14:paraId="7EB5D663" w14:textId="795E59AF" w:rsidR="006745A8" w:rsidRPr="00426803" w:rsidRDefault="006745A8" w:rsidP="009D14C4">
      <w:pPr>
        <w:pStyle w:val="MDPI51figurecaption"/>
        <w:spacing w:before="0" w:after="0"/>
        <w:rPr>
          <w:rFonts w:ascii="Times New Roman" w:hAnsi="Times New Roman"/>
          <w:color w:val="auto"/>
          <w:sz w:val="24"/>
          <w:szCs w:val="24"/>
        </w:rPr>
      </w:pPr>
      <w:r w:rsidRPr="00426803">
        <w:rPr>
          <w:rFonts w:ascii="Times New Roman" w:hAnsi="Times New Roman"/>
          <w:color w:val="auto"/>
          <w:sz w:val="24"/>
          <w:szCs w:val="24"/>
        </w:rPr>
        <w:t>There was a significant increase in CD25 expression in ST37+CD8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>-</w:t>
      </w:r>
      <w:r w:rsidR="0028207D" w:rsidRPr="00426803">
        <w:rPr>
          <w:rFonts w:ascii="Times New Roman" w:hAnsi="Times New Roman"/>
          <w:color w:val="auto"/>
          <w:sz w:val="24"/>
          <w:szCs w:val="24"/>
        </w:rPr>
        <w:t>engineered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CD4 T-cells against HLA-A*02-positive WT1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t>37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noBreakHyphen/>
        <w:t>45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peptide-pulsed T2 and Raji</w:t>
      </w:r>
      <w:r w:rsidRPr="00426803">
        <w:rPr>
          <w:rFonts w:ascii="Times New Roman" w:hAnsi="Times New Roman"/>
          <w:color w:val="auto"/>
          <w:sz w:val="24"/>
          <w:szCs w:val="24"/>
        </w:rPr>
        <w:noBreakHyphen/>
        <w:t xml:space="preserve">A2 cells (69.9 ± 14.4% and 48.2 ± 15.7%, respectively), compared to </w:t>
      </w:r>
      <w:r w:rsidR="0028207D" w:rsidRPr="00426803">
        <w:rPr>
          <w:rFonts w:ascii="Times New Roman" w:hAnsi="Times New Roman"/>
          <w:color w:val="auto"/>
          <w:sz w:val="24"/>
          <w:szCs w:val="24"/>
        </w:rPr>
        <w:t xml:space="preserve">their </w:t>
      </w:r>
      <w:r w:rsidRPr="00426803">
        <w:rPr>
          <w:rFonts w:ascii="Times New Roman" w:hAnsi="Times New Roman"/>
          <w:color w:val="auto"/>
          <w:sz w:val="24"/>
          <w:szCs w:val="24"/>
        </w:rPr>
        <w:t>ST37</w:t>
      </w:r>
      <w:r w:rsidR="0028207D" w:rsidRPr="00426803">
        <w:rPr>
          <w:rFonts w:ascii="Times New Roman" w:hAnsi="Times New Roman"/>
          <w:color w:val="auto"/>
          <w:sz w:val="24"/>
          <w:szCs w:val="24"/>
        </w:rPr>
        <w:t xml:space="preserve"> counterpart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(19.1 ± 14.0% and 17.0 ± 3.9%, respectively). A significantly higher expression of CD69, CD137 and CD154 was found in co-cultures with WT1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t>37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noBreakHyphen/>
        <w:t>45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peptide-pulsed T2 cells in ST37+CD8</w:t>
      </w:r>
      <w:r w:rsidR="00A77F85" w:rsidRPr="00426803">
        <w:rPr>
          <w:rFonts w:ascii="Times New Roman" w:hAnsi="Times New Roman"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(53.1 ± 27.3%, 24.3 ± 4.6% and 47.6 ± 7.0%, respectively), compared to ST37</w:t>
      </w:r>
      <w:r w:rsidR="00A77F85" w:rsidRPr="00426803">
        <w:rPr>
          <w:rFonts w:ascii="Times New Roman" w:hAnsi="Times New Roman"/>
          <w:color w:val="auto"/>
          <w:sz w:val="24"/>
          <w:szCs w:val="24"/>
        </w:rPr>
        <w:t>-engineered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CD4 T-cells (7.7 ± 2.5%, 3.8 ± 2.3% and 11.6 ± 10.0%, respectively). 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 xml:space="preserve">There was a </w:t>
      </w:r>
      <w:r w:rsidRPr="00426803">
        <w:rPr>
          <w:rFonts w:ascii="Times New Roman" w:hAnsi="Times New Roman"/>
          <w:color w:val="auto"/>
          <w:sz w:val="24"/>
          <w:szCs w:val="24"/>
        </w:rPr>
        <w:t>significant downregulation of CD127 in ST37+CD8</w:t>
      </w:r>
      <w:r w:rsidR="00A77F85" w:rsidRPr="00426803">
        <w:rPr>
          <w:rFonts w:ascii="Times New Roman" w:hAnsi="Times New Roman"/>
          <w:color w:val="auto"/>
          <w:sz w:val="24"/>
          <w:szCs w:val="24"/>
        </w:rPr>
        <w:t>-redirected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CD4 T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color w:val="auto"/>
          <w:sz w:val="24"/>
          <w:szCs w:val="24"/>
        </w:rPr>
        <w:t>cells in response to WT1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t>37-45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peptide-pulsed T2 and Raji-A2 cells (36.4 ± 9.7 % and 54.4 ± 14.4 %, respectively) versus ST37</w:t>
      </w:r>
      <w:r w:rsidR="00A77F85" w:rsidRPr="00426803">
        <w:rPr>
          <w:rFonts w:ascii="Times New Roman" w:hAnsi="Times New Roman"/>
          <w:color w:val="auto"/>
          <w:sz w:val="24"/>
          <w:szCs w:val="24"/>
        </w:rPr>
        <w:t>-engineered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CD4 T</w:t>
      </w:r>
      <w:r w:rsidR="00A77F85" w:rsidRPr="00426803">
        <w:rPr>
          <w:rFonts w:ascii="Times New Roman" w:hAnsi="Times New Roman"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color w:val="auto"/>
          <w:sz w:val="24"/>
          <w:szCs w:val="24"/>
        </w:rPr>
        <w:t>cells (76.7 ± 21.7 % and 80.4 ± 7.6 %, respectively).</w:t>
      </w:r>
    </w:p>
    <w:p w14:paraId="20EE8569" w14:textId="77777777" w:rsidR="006745A8" w:rsidRPr="00426803" w:rsidRDefault="006745A8" w:rsidP="006745A8">
      <w:pPr>
        <w:pStyle w:val="MDPI51figurecaption"/>
        <w:spacing w:after="0"/>
        <w:rPr>
          <w:rFonts w:ascii="Times New Roman" w:hAnsi="Times New Roman"/>
          <w:b/>
          <w:bCs/>
          <w:color w:val="auto"/>
          <w:sz w:val="24"/>
          <w:szCs w:val="24"/>
        </w:rPr>
      </w:pPr>
    </w:p>
    <w:p w14:paraId="47754295" w14:textId="77777777" w:rsidR="00682DD0" w:rsidRPr="00426803" w:rsidRDefault="00682DD0">
      <w:pPr>
        <w:spacing w:before="0" w:after="200" w:line="276" w:lineRule="auto"/>
        <w:rPr>
          <w:rFonts w:eastAsia="Times New Roman" w:cs="Times New Roman"/>
          <w:b/>
          <w:bCs/>
          <w:szCs w:val="24"/>
          <w:lang w:eastAsia="de-DE" w:bidi="en-US"/>
        </w:rPr>
      </w:pPr>
      <w:r w:rsidRPr="00426803">
        <w:rPr>
          <w:b/>
          <w:bCs/>
          <w:szCs w:val="24"/>
        </w:rPr>
        <w:br w:type="page"/>
      </w:r>
    </w:p>
    <w:p w14:paraId="7FBD3A7D" w14:textId="77777777" w:rsidR="00B73EC3" w:rsidRPr="00426803" w:rsidRDefault="00B73EC3" w:rsidP="00B73EC3">
      <w:pPr>
        <w:pStyle w:val="Normaalweb"/>
      </w:pPr>
      <w:r w:rsidRPr="00426803">
        <w:rPr>
          <w:noProof/>
        </w:rPr>
        <w:lastRenderedPageBreak/>
        <w:drawing>
          <wp:inline distT="0" distB="0" distL="0" distR="0" wp14:anchorId="1979C406" wp14:editId="013D6F04">
            <wp:extent cx="6262253" cy="2528229"/>
            <wp:effectExtent l="0" t="0" r="5715" b="5715"/>
            <wp:docPr id="2" name="Afbeelding 1" descr="Afbeelding met tekst, diagram, lijn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 descr="Afbeelding met tekst, diagram, lijn, schermopnam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889" cy="254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D2B82" w14:textId="7E4A1D13" w:rsidR="00377744" w:rsidRPr="00426803" w:rsidRDefault="006745A8" w:rsidP="00377744">
      <w:pPr>
        <w:pStyle w:val="MDPI51figurecaption"/>
        <w:spacing w:before="0" w:after="0"/>
        <w:rPr>
          <w:rFonts w:ascii="Times New Roman" w:hAnsi="Times New Roman"/>
          <w:color w:val="auto"/>
          <w:sz w:val="24"/>
          <w:szCs w:val="24"/>
        </w:rPr>
      </w:pP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 xml:space="preserve">Figure </w:t>
      </w:r>
      <w:r w:rsidR="008C2273" w:rsidRPr="00426803">
        <w:rPr>
          <w:rFonts w:ascii="Times New Roman" w:hAnsi="Times New Roman"/>
          <w:b/>
          <w:bCs/>
          <w:color w:val="auto"/>
          <w:sz w:val="24"/>
          <w:szCs w:val="24"/>
        </w:rPr>
        <w:t>S2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>. Secretion of granzyme B in expanded primary T37 TCR-redirected CD4 T</w:t>
      </w:r>
      <w:r w:rsidR="00FF7D05" w:rsidRPr="00426803">
        <w:rPr>
          <w:rFonts w:ascii="Times New Roman" w:hAnsi="Times New Roman"/>
          <w:b/>
          <w:bCs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>cells in response to WT1-specific recognition.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Supernatants from 24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h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>r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co-cultures of T37 TCR-redirected </w:t>
      </w:r>
      <w:r w:rsidR="00DD0DF0" w:rsidRPr="00426803">
        <w:rPr>
          <w:rFonts w:ascii="Times New Roman" w:hAnsi="Times New Roman"/>
          <w:color w:val="auto"/>
          <w:sz w:val="24"/>
          <w:szCs w:val="24"/>
        </w:rPr>
        <w:t xml:space="preserve">CD4 </w:t>
      </w:r>
      <w:r w:rsidRPr="00426803">
        <w:rPr>
          <w:rFonts w:ascii="Times New Roman" w:hAnsi="Times New Roman"/>
          <w:color w:val="auto"/>
          <w:sz w:val="24"/>
          <w:szCs w:val="24"/>
        </w:rPr>
        <w:t>T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color w:val="auto"/>
          <w:sz w:val="24"/>
          <w:szCs w:val="24"/>
        </w:rPr>
        <w:t>cells and tumor cell lines that were pulsed with WT1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t xml:space="preserve">37-45 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peptide (PP) or left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unpulsed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(NP), were harvested and analyzed for granzyme B using ELISA. As a negative control, T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color w:val="auto"/>
          <w:sz w:val="24"/>
          <w:szCs w:val="24"/>
        </w:rPr>
        <w:t>cells were cultured in the absence of target cells (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>‘</w:t>
      </w:r>
      <w:r w:rsidRPr="00426803">
        <w:rPr>
          <w:rFonts w:ascii="Times New Roman" w:hAnsi="Times New Roman"/>
          <w:color w:val="auto"/>
          <w:sz w:val="24"/>
          <w:szCs w:val="24"/>
        </w:rPr>
        <w:t>T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426803">
        <w:rPr>
          <w:rFonts w:ascii="Times New Roman" w:hAnsi="Times New Roman"/>
          <w:color w:val="auto"/>
          <w:sz w:val="24"/>
          <w:szCs w:val="24"/>
        </w:rPr>
        <w:t>cells only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>’ condition</w:t>
      </w:r>
      <w:r w:rsidRPr="00426803">
        <w:rPr>
          <w:rFonts w:ascii="Times New Roman" w:hAnsi="Times New Roman"/>
          <w:color w:val="auto"/>
          <w:sz w:val="24"/>
          <w:szCs w:val="24"/>
        </w:rPr>
        <w:t>). As a positive control, T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cells were cultured in the presence of phorbol 12-myristate 13-acetate and ionomycin (PMA+ION). Graphs represent mean ± SD values for 4 independent donors and were analyzed using two-way ANOVA followed by Tukey’s multiple comparison test (ns, not significant; ****,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P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 ≤ 0.0001). MM, control double sequential mock electroporation; ST37, double sequential electroporation, first with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DsiRNA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directed against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TRAC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and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 xml:space="preserve"> against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TRBC </w:t>
      </w:r>
      <w:r w:rsidRPr="00426803">
        <w:rPr>
          <w:rFonts w:ascii="Times New Roman" w:hAnsi="Times New Roman"/>
          <w:color w:val="auto"/>
          <w:sz w:val="24"/>
          <w:szCs w:val="24"/>
        </w:rPr>
        <w:t>mRNA,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 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followed by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WT1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  <w:vertAlign w:val="subscript"/>
        </w:rPr>
        <w:t>37-45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 TCR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mRNA electroporation; +CD8,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CD8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mRNA co-electroporated with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TCR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mRNA.</w:t>
      </w:r>
    </w:p>
    <w:p w14:paraId="5B75E4EA" w14:textId="39D9F395" w:rsidR="006745A8" w:rsidRPr="00426803" w:rsidRDefault="006745A8" w:rsidP="00377744">
      <w:pPr>
        <w:pStyle w:val="MDPI51figurecaption"/>
        <w:spacing w:before="0" w:after="0"/>
        <w:rPr>
          <w:rFonts w:ascii="Times New Roman" w:hAnsi="Times New Roman"/>
          <w:color w:val="auto"/>
          <w:sz w:val="24"/>
          <w:szCs w:val="24"/>
        </w:rPr>
      </w:pPr>
      <w:r w:rsidRPr="00426803">
        <w:rPr>
          <w:rFonts w:ascii="Times New Roman" w:hAnsi="Times New Roman"/>
          <w:color w:val="auto"/>
          <w:sz w:val="24"/>
          <w:szCs w:val="24"/>
        </w:rPr>
        <w:t>ST37+CD8-engineered CD4 T-cells, but not ST37</w:t>
      </w:r>
      <w:r w:rsidR="00DD0DF0" w:rsidRPr="00426803">
        <w:rPr>
          <w:rFonts w:ascii="Times New Roman" w:hAnsi="Times New Roman"/>
          <w:color w:val="auto"/>
          <w:sz w:val="24"/>
          <w:szCs w:val="24"/>
        </w:rPr>
        <w:t>-redirected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CD4 T-cells secreted granzyme B in the presence of WT1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t>37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noBreakHyphen/>
        <w:t>45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peptide-pulsed T2 (2.8 ± 0.9 ng/mL versus 0.1 ± 0.03 ng/mL) and of WT1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t>37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noBreakHyphen/>
        <w:t>45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peptide-pulsed Raji-A2 cells (2.3 ± 1.1 ng/mL versus 0.1 ± 0.1 ng/mL); these differences were significant.</w:t>
      </w:r>
    </w:p>
    <w:p w14:paraId="54DBD46D" w14:textId="77777777" w:rsidR="006745A8" w:rsidRPr="00426803" w:rsidRDefault="006745A8" w:rsidP="006745A8">
      <w:pPr>
        <w:pStyle w:val="MDPI51figurecaption"/>
        <w:spacing w:after="0"/>
        <w:rPr>
          <w:rFonts w:ascii="Times New Roman" w:hAnsi="Times New Roman"/>
          <w:b/>
          <w:bCs/>
          <w:color w:val="auto"/>
          <w:sz w:val="24"/>
          <w:szCs w:val="24"/>
        </w:rPr>
      </w:pPr>
    </w:p>
    <w:p w14:paraId="7238FD8C" w14:textId="77777777" w:rsidR="008C2273" w:rsidRPr="00426803" w:rsidRDefault="008C2273">
      <w:pPr>
        <w:spacing w:before="0" w:after="200" w:line="276" w:lineRule="auto"/>
        <w:rPr>
          <w:rFonts w:eastAsia="Times New Roman" w:cs="Times New Roman"/>
          <w:b/>
          <w:bCs/>
          <w:szCs w:val="24"/>
          <w:lang w:eastAsia="de-DE" w:bidi="en-US"/>
        </w:rPr>
      </w:pPr>
      <w:r w:rsidRPr="00426803">
        <w:rPr>
          <w:b/>
          <w:bCs/>
          <w:szCs w:val="24"/>
        </w:rPr>
        <w:br w:type="page"/>
      </w:r>
    </w:p>
    <w:p w14:paraId="72B84155" w14:textId="744C6BA4" w:rsidR="00811898" w:rsidRPr="00426803" w:rsidRDefault="000953F3" w:rsidP="00811898">
      <w:pPr>
        <w:pStyle w:val="Normaalweb"/>
      </w:pPr>
      <w:r w:rsidRPr="00426803">
        <w:rPr>
          <w:noProof/>
        </w:rPr>
        <w:lastRenderedPageBreak/>
        <w:drawing>
          <wp:inline distT="0" distB="0" distL="0" distR="0" wp14:anchorId="29FB21B9" wp14:editId="2396E57C">
            <wp:extent cx="6162675" cy="2498922"/>
            <wp:effectExtent l="0" t="0" r="0" b="0"/>
            <wp:docPr id="906132308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92" cy="2510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0C8173" w14:textId="61554E39" w:rsidR="00EC1594" w:rsidRPr="00426803" w:rsidRDefault="006745A8" w:rsidP="00EC1594">
      <w:pPr>
        <w:pStyle w:val="MDPI51figurecaption"/>
        <w:spacing w:before="0" w:after="0"/>
        <w:rPr>
          <w:rFonts w:ascii="Times New Roman" w:hAnsi="Times New Roman"/>
          <w:color w:val="auto"/>
          <w:sz w:val="24"/>
          <w:szCs w:val="24"/>
        </w:rPr>
      </w:pP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 xml:space="preserve">Figure </w:t>
      </w:r>
      <w:r w:rsidR="00FE2364" w:rsidRPr="00426803">
        <w:rPr>
          <w:rFonts w:ascii="Times New Roman" w:hAnsi="Times New Roman"/>
          <w:b/>
          <w:bCs/>
          <w:color w:val="auto"/>
          <w:sz w:val="24"/>
          <w:szCs w:val="24"/>
        </w:rPr>
        <w:t>S3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 xml:space="preserve">. Antigen-specific activity of T37 TCR-redirected </w:t>
      </w:r>
      <w:proofErr w:type="spellStart"/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>γδ</w:t>
      </w:r>
      <w:proofErr w:type="spellEnd"/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 xml:space="preserve"> T</w:t>
      </w:r>
      <w:r w:rsidR="00FF7D05" w:rsidRPr="00426803">
        <w:rPr>
          <w:rFonts w:ascii="Times New Roman" w:hAnsi="Times New Roman"/>
          <w:b/>
          <w:bCs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>cells against WT1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  <w:vertAlign w:val="subscript"/>
        </w:rPr>
        <w:t>37-45</w:t>
      </w:r>
      <w:r w:rsidRPr="00426803">
        <w:rPr>
          <w:rFonts w:ascii="Times New Roman" w:hAnsi="Times New Roman"/>
          <w:b/>
          <w:bCs/>
          <w:color w:val="auto"/>
          <w:sz w:val="24"/>
          <w:szCs w:val="24"/>
        </w:rPr>
        <w:t xml:space="preserve"> epitope presented by tumor cells. 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WT1-specific cytotoxic activity of T37 TCR-redirected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γδ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T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>-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cells was measured 4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h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>r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after co-culture with tumor cell lines that were pulsed with WT1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t xml:space="preserve">37-45 </w:t>
      </w:r>
      <w:r w:rsidRPr="00426803">
        <w:rPr>
          <w:rFonts w:ascii="Times New Roman" w:hAnsi="Times New Roman"/>
          <w:color w:val="auto"/>
          <w:sz w:val="24"/>
          <w:szCs w:val="24"/>
        </w:rPr>
        <w:t>peptide (PP)</w:t>
      </w:r>
      <w:r w:rsidR="00FF7D05" w:rsidRPr="00426803">
        <w:rPr>
          <w:rFonts w:ascii="Times New Roman" w:hAnsi="Times New Roman"/>
          <w:color w:val="auto"/>
          <w:sz w:val="24"/>
          <w:szCs w:val="24"/>
        </w:rPr>
        <w:t xml:space="preserve"> or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left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unpulsed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(NP). Graphs represent mean ± SD values for 3-11 independent donors and were analyzed using two-way ANOVA followed by Tukey’s multiple comparison test (ns, not significant; **,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P 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≤ 0.01; 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 xml:space="preserve">***, </w:t>
      </w:r>
      <w:r w:rsidR="00EB1EFC" w:rsidRPr="00426803">
        <w:rPr>
          <w:rFonts w:ascii="Times New Roman" w:hAnsi="Times New Roman"/>
          <w:i/>
          <w:iCs/>
          <w:color w:val="auto"/>
          <w:sz w:val="24"/>
          <w:szCs w:val="24"/>
        </w:rPr>
        <w:t>P</w:t>
      </w:r>
      <w:r w:rsidR="00EB1EFC" w:rsidRPr="00426803">
        <w:rPr>
          <w:rFonts w:ascii="Times New Roman" w:hAnsi="Times New Roman"/>
          <w:color w:val="auto"/>
          <w:sz w:val="24"/>
          <w:szCs w:val="24"/>
        </w:rPr>
        <w:t xml:space="preserve"> ≤ 0.001; 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****, </w:t>
      </w:r>
      <w:r w:rsidRPr="00426803">
        <w:rPr>
          <w:rFonts w:ascii="Times New Roman" w:hAnsi="Times New Roman"/>
          <w:i/>
          <w:iCs/>
          <w:color w:val="auto"/>
          <w:sz w:val="24"/>
          <w:szCs w:val="24"/>
        </w:rPr>
        <w:t>P</w:t>
      </w:r>
      <w:r w:rsidRPr="00426803">
        <w:rPr>
          <w:rFonts w:ascii="Times New Roman" w:hAnsi="Times New Roman"/>
          <w:color w:val="auto"/>
          <w:sz w:val="24"/>
          <w:szCs w:val="24"/>
        </w:rPr>
        <w:t> ≤ 0.0001).</w:t>
      </w:r>
      <w:r w:rsidR="00EC1594" w:rsidRPr="00426803">
        <w:rPr>
          <w:rFonts w:ascii="Times New Roman" w:hAnsi="Times New Roman"/>
          <w:color w:val="auto"/>
          <w:sz w:val="24"/>
          <w:szCs w:val="24"/>
        </w:rPr>
        <w:t xml:space="preserve"> M, mock electroporation; CD8, </w:t>
      </w:r>
      <w:r w:rsidR="00EC1594" w:rsidRPr="00426803">
        <w:rPr>
          <w:rFonts w:ascii="Times New Roman" w:hAnsi="Times New Roman"/>
          <w:i/>
          <w:iCs/>
          <w:color w:val="auto"/>
          <w:sz w:val="24"/>
          <w:szCs w:val="24"/>
        </w:rPr>
        <w:t>CD8</w:t>
      </w:r>
      <w:r w:rsidR="00EC1594" w:rsidRPr="00426803">
        <w:rPr>
          <w:rFonts w:ascii="Times New Roman" w:hAnsi="Times New Roman"/>
          <w:color w:val="auto"/>
          <w:sz w:val="24"/>
          <w:szCs w:val="24"/>
        </w:rPr>
        <w:t xml:space="preserve"> mRNA electroporation only; T37, </w:t>
      </w:r>
      <w:r w:rsidR="00EC1594" w:rsidRPr="00426803">
        <w:rPr>
          <w:rFonts w:ascii="Times New Roman" w:hAnsi="Times New Roman"/>
          <w:i/>
          <w:iCs/>
          <w:color w:val="auto"/>
          <w:sz w:val="24"/>
          <w:szCs w:val="24"/>
        </w:rPr>
        <w:t>WT1</w:t>
      </w:r>
      <w:r w:rsidR="00EC1594" w:rsidRPr="00426803">
        <w:rPr>
          <w:rFonts w:ascii="Times New Roman" w:hAnsi="Times New Roman"/>
          <w:i/>
          <w:iCs/>
          <w:color w:val="auto"/>
          <w:sz w:val="24"/>
          <w:szCs w:val="24"/>
          <w:vertAlign w:val="subscript"/>
        </w:rPr>
        <w:t>37-45</w:t>
      </w:r>
      <w:r w:rsidR="00EC1594" w:rsidRPr="00426803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EC1594" w:rsidRPr="00426803">
        <w:rPr>
          <w:rFonts w:ascii="Times New Roman" w:hAnsi="Times New Roman"/>
          <w:i/>
          <w:iCs/>
          <w:color w:val="auto"/>
          <w:sz w:val="24"/>
          <w:szCs w:val="24"/>
        </w:rPr>
        <w:t>TCR</w:t>
      </w:r>
      <w:r w:rsidR="00EC1594" w:rsidRPr="00426803">
        <w:rPr>
          <w:rFonts w:ascii="Times New Roman" w:hAnsi="Times New Roman"/>
          <w:color w:val="auto"/>
          <w:sz w:val="24"/>
          <w:szCs w:val="24"/>
        </w:rPr>
        <w:t xml:space="preserve"> mRNA electroporation only; T37+CD8, co-electroporation of </w:t>
      </w:r>
      <w:r w:rsidR="00EC1594" w:rsidRPr="00426803">
        <w:rPr>
          <w:rFonts w:ascii="Times New Roman" w:hAnsi="Times New Roman"/>
          <w:i/>
          <w:iCs/>
          <w:color w:val="auto"/>
          <w:sz w:val="24"/>
          <w:szCs w:val="24"/>
        </w:rPr>
        <w:t>WT1</w:t>
      </w:r>
      <w:r w:rsidR="00EC1594" w:rsidRPr="00426803">
        <w:rPr>
          <w:rFonts w:ascii="Times New Roman" w:hAnsi="Times New Roman"/>
          <w:i/>
          <w:iCs/>
          <w:color w:val="auto"/>
          <w:sz w:val="24"/>
          <w:szCs w:val="24"/>
          <w:vertAlign w:val="subscript"/>
        </w:rPr>
        <w:t>37-45</w:t>
      </w:r>
      <w:r w:rsidR="00EC1594" w:rsidRPr="00426803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EC1594" w:rsidRPr="00426803">
        <w:rPr>
          <w:rFonts w:ascii="Times New Roman" w:hAnsi="Times New Roman"/>
          <w:i/>
          <w:iCs/>
          <w:color w:val="auto"/>
          <w:sz w:val="24"/>
          <w:szCs w:val="24"/>
        </w:rPr>
        <w:t>TCR</w:t>
      </w:r>
      <w:r w:rsidR="00EC1594" w:rsidRPr="00426803">
        <w:rPr>
          <w:rFonts w:ascii="Times New Roman" w:hAnsi="Times New Roman"/>
          <w:color w:val="auto"/>
          <w:sz w:val="24"/>
          <w:szCs w:val="24"/>
        </w:rPr>
        <w:t xml:space="preserve"> + </w:t>
      </w:r>
      <w:r w:rsidR="00EC1594" w:rsidRPr="00426803">
        <w:rPr>
          <w:rFonts w:ascii="Times New Roman" w:hAnsi="Times New Roman"/>
          <w:i/>
          <w:iCs/>
          <w:color w:val="auto"/>
          <w:sz w:val="24"/>
          <w:szCs w:val="24"/>
        </w:rPr>
        <w:t>CD8</w:t>
      </w:r>
      <w:r w:rsidR="00EC1594" w:rsidRPr="00426803">
        <w:rPr>
          <w:rFonts w:ascii="Times New Roman" w:hAnsi="Times New Roman"/>
          <w:color w:val="auto"/>
          <w:sz w:val="24"/>
          <w:szCs w:val="24"/>
        </w:rPr>
        <w:t xml:space="preserve"> mRNAs.</w:t>
      </w:r>
    </w:p>
    <w:p w14:paraId="7B65BC41" w14:textId="32E18734" w:rsidR="00DE23E8" w:rsidRPr="00426803" w:rsidRDefault="006745A8" w:rsidP="00E06ABA">
      <w:pPr>
        <w:pStyle w:val="MDPI51figurecaption"/>
        <w:spacing w:before="0" w:after="0"/>
        <w:rPr>
          <w:rFonts w:ascii="Times New Roman" w:hAnsi="Times New Roman"/>
          <w:color w:val="auto"/>
          <w:sz w:val="24"/>
          <w:szCs w:val="24"/>
        </w:rPr>
      </w:pPr>
      <w:r w:rsidRPr="00426803">
        <w:rPr>
          <w:rFonts w:ascii="Times New Roman" w:hAnsi="Times New Roman"/>
          <w:color w:val="auto"/>
          <w:sz w:val="24"/>
          <w:szCs w:val="24"/>
        </w:rPr>
        <w:t>Compared to T37</w:t>
      </w:r>
      <w:r w:rsidR="0080259F" w:rsidRPr="00426803">
        <w:rPr>
          <w:rFonts w:ascii="Times New Roman" w:hAnsi="Times New Roman"/>
          <w:color w:val="auto"/>
          <w:sz w:val="24"/>
          <w:szCs w:val="24"/>
        </w:rPr>
        <w:t>-engineered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γδ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T-cells, T37+CD8-redirected </w:t>
      </w:r>
      <w:proofErr w:type="spellStart"/>
      <w:r w:rsidRPr="00426803">
        <w:rPr>
          <w:rFonts w:ascii="Times New Roman" w:hAnsi="Times New Roman"/>
          <w:color w:val="auto"/>
          <w:sz w:val="24"/>
          <w:szCs w:val="24"/>
        </w:rPr>
        <w:t>γδ</w:t>
      </w:r>
      <w:proofErr w:type="spellEnd"/>
      <w:r w:rsidRPr="00426803">
        <w:rPr>
          <w:rFonts w:ascii="Times New Roman" w:hAnsi="Times New Roman"/>
          <w:color w:val="auto"/>
          <w:sz w:val="24"/>
          <w:szCs w:val="24"/>
        </w:rPr>
        <w:t xml:space="preserve"> T-cells were significantly able to specifically kill HLA-A*02-positive WT1</w:t>
      </w:r>
      <w:r w:rsidRPr="00426803">
        <w:rPr>
          <w:rFonts w:ascii="Times New Roman" w:hAnsi="Times New Roman"/>
          <w:color w:val="auto"/>
          <w:sz w:val="24"/>
          <w:szCs w:val="24"/>
          <w:vertAlign w:val="subscript"/>
        </w:rPr>
        <w:t>37-45</w:t>
      </w:r>
      <w:r w:rsidRPr="00426803">
        <w:rPr>
          <w:rFonts w:ascii="Times New Roman" w:hAnsi="Times New Roman"/>
          <w:color w:val="auto"/>
          <w:sz w:val="24"/>
          <w:szCs w:val="24"/>
        </w:rPr>
        <w:t xml:space="preserve"> peptide-pulsed T2 (56.1 ± 28.5 %), U266 (53.0 ± 24.3 %), K562-A2 (42</w:t>
      </w:r>
      <w:r w:rsidR="0028207D" w:rsidRPr="00426803">
        <w:rPr>
          <w:rFonts w:ascii="Times New Roman" w:hAnsi="Times New Roman"/>
          <w:color w:val="auto"/>
          <w:sz w:val="24"/>
          <w:szCs w:val="24"/>
        </w:rPr>
        <w:t>.</w:t>
      </w:r>
      <w:r w:rsidRPr="00426803">
        <w:rPr>
          <w:rFonts w:ascii="Times New Roman" w:hAnsi="Times New Roman"/>
          <w:color w:val="auto"/>
          <w:sz w:val="24"/>
          <w:szCs w:val="24"/>
        </w:rPr>
        <w:t>0 ± 20.3 %) and THP1 (35.3 ± 31.8 %) tumor cells.</w:t>
      </w:r>
    </w:p>
    <w:p w14:paraId="40A1B634" w14:textId="1EB58EE2" w:rsidR="006565F9" w:rsidRPr="00426803" w:rsidRDefault="006565F9">
      <w:pPr>
        <w:spacing w:before="0" w:after="200" w:line="276" w:lineRule="auto"/>
        <w:rPr>
          <w:rFonts w:eastAsia="Times New Roman" w:cs="Times New Roman"/>
          <w:szCs w:val="24"/>
          <w:lang w:eastAsia="de-DE" w:bidi="en-US"/>
        </w:rPr>
      </w:pPr>
      <w:r w:rsidRPr="00426803">
        <w:rPr>
          <w:szCs w:val="24"/>
        </w:rPr>
        <w:br w:type="page"/>
      </w:r>
    </w:p>
    <w:p w14:paraId="3A526C1F" w14:textId="7D0B7FE5" w:rsidR="006565F9" w:rsidRPr="00426803" w:rsidRDefault="00175EA1" w:rsidP="00FE2364">
      <w:pPr>
        <w:pStyle w:val="MDPI51figurecaption"/>
        <w:rPr>
          <w:rFonts w:ascii="Times New Roman" w:eastAsia="Aptos" w:hAnsi="Times New Roman"/>
          <w:color w:val="auto"/>
          <w:sz w:val="24"/>
          <w:szCs w:val="24"/>
          <w:lang w:eastAsia="en-US" w:bidi="ar-SA"/>
        </w:rPr>
      </w:pPr>
      <w:r w:rsidRPr="00426803">
        <w:rPr>
          <w:rFonts w:ascii="Times New Roman" w:eastAsia="Aptos" w:hAnsi="Times New Roman"/>
          <w:noProof/>
          <w:color w:val="auto"/>
          <w:sz w:val="24"/>
          <w:szCs w:val="24"/>
          <w:lang w:eastAsia="en-US" w:bidi="ar-SA"/>
        </w:rPr>
        <w:lastRenderedPageBreak/>
        <w:drawing>
          <wp:inline distT="0" distB="0" distL="0" distR="0" wp14:anchorId="523D7B14" wp14:editId="012223EC">
            <wp:extent cx="6155322" cy="3512820"/>
            <wp:effectExtent l="0" t="0" r="0" b="0"/>
            <wp:docPr id="723423601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607" cy="3519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E963C" w14:textId="4420CBE2" w:rsidR="00FE0547" w:rsidRPr="00426803" w:rsidRDefault="006565F9" w:rsidP="00741FCC">
      <w:pPr>
        <w:pStyle w:val="MDPI51figurecaption"/>
        <w:spacing w:after="0"/>
        <w:rPr>
          <w:rFonts w:ascii="Times New Roman" w:hAnsi="Times New Roman"/>
          <w:color w:val="auto"/>
          <w:sz w:val="24"/>
          <w:szCs w:val="24"/>
        </w:rPr>
      </w:pPr>
      <w:r w:rsidRPr="00426803">
        <w:rPr>
          <w:rFonts w:ascii="Times New Roman" w:eastAsia="Aptos" w:hAnsi="Times New Roman"/>
          <w:b/>
          <w:bCs/>
          <w:color w:val="auto"/>
          <w:sz w:val="24"/>
          <w:szCs w:val="24"/>
          <w:lang w:eastAsia="en-US" w:bidi="ar-SA"/>
        </w:rPr>
        <w:t>Figure S4. Representative flow cytometry plot showing CD3 and CD8 expression in ST37+CD8 and ST37+CD8+CD3 T37 TCR-redirected CD8 T</w:t>
      </w:r>
      <w:r w:rsidR="00124C71" w:rsidRPr="00426803">
        <w:rPr>
          <w:rFonts w:ascii="Times New Roman" w:eastAsia="Aptos" w:hAnsi="Times New Roman"/>
          <w:b/>
          <w:bCs/>
          <w:color w:val="auto"/>
          <w:sz w:val="24"/>
          <w:szCs w:val="24"/>
          <w:lang w:eastAsia="en-US" w:bidi="ar-SA"/>
        </w:rPr>
        <w:t>-</w:t>
      </w:r>
      <w:r w:rsidRPr="00426803">
        <w:rPr>
          <w:rFonts w:ascii="Times New Roman" w:eastAsia="Aptos" w:hAnsi="Times New Roman"/>
          <w:b/>
          <w:bCs/>
          <w:color w:val="auto"/>
          <w:sz w:val="24"/>
          <w:szCs w:val="24"/>
          <w:lang w:eastAsia="en-US" w:bidi="ar-SA"/>
        </w:rPr>
        <w:t>cells.</w:t>
      </w:r>
      <w:r w:rsidR="00573536" w:rsidRPr="00426803">
        <w:rPr>
          <w:rFonts w:ascii="Times New Roman" w:eastAsia="Aptos" w:hAnsi="Times New Roman"/>
          <w:b/>
          <w:bCs/>
          <w:color w:val="auto"/>
          <w:sz w:val="24"/>
          <w:szCs w:val="24"/>
          <w:lang w:eastAsia="en-US" w:bidi="ar-SA"/>
        </w:rPr>
        <w:t xml:space="preserve"> </w:t>
      </w:r>
      <w:r w:rsidR="00056D64" w:rsidRPr="00426803">
        <w:rPr>
          <w:rFonts w:ascii="Times New Roman" w:eastAsia="Aptos" w:hAnsi="Times New Roman"/>
          <w:color w:val="auto"/>
          <w:sz w:val="24"/>
          <w:szCs w:val="24"/>
          <w:lang w:eastAsia="en-US" w:bidi="ar-SA"/>
        </w:rPr>
        <w:t>CD3 and CD8 surface expression was assessed 24 hours after electroporation</w:t>
      </w:r>
      <w:r w:rsidR="00C03E12" w:rsidRPr="00426803">
        <w:rPr>
          <w:rFonts w:ascii="Times New Roman" w:eastAsia="Aptos" w:hAnsi="Times New Roman"/>
          <w:color w:val="auto"/>
          <w:sz w:val="24"/>
          <w:szCs w:val="24"/>
          <w:lang w:eastAsia="en-US" w:bidi="ar-SA"/>
        </w:rPr>
        <w:t xml:space="preserve"> of CD8 T-cells</w:t>
      </w:r>
      <w:r w:rsidR="00056D64" w:rsidRPr="00426803">
        <w:rPr>
          <w:rFonts w:ascii="Times New Roman" w:eastAsia="Aptos" w:hAnsi="Times New Roman"/>
          <w:color w:val="auto"/>
          <w:sz w:val="24"/>
          <w:szCs w:val="24"/>
          <w:lang w:eastAsia="en-US" w:bidi="ar-SA"/>
        </w:rPr>
        <w:t xml:space="preserve"> with CD3 and CD8 mRNA. Representative flow cytometry plots illustrate membrane expression levels </w:t>
      </w:r>
      <w:r w:rsidR="0014697C" w:rsidRPr="00426803">
        <w:rPr>
          <w:rFonts w:ascii="Times New Roman" w:eastAsia="Aptos" w:hAnsi="Times New Roman"/>
          <w:color w:val="auto"/>
          <w:sz w:val="24"/>
          <w:szCs w:val="24"/>
          <w:lang w:eastAsia="en-US" w:bidi="ar-SA"/>
        </w:rPr>
        <w:t>following</w:t>
      </w:r>
      <w:r w:rsidR="00F6505F" w:rsidRPr="00426803">
        <w:rPr>
          <w:rFonts w:ascii="Times New Roman" w:eastAsia="Aptos" w:hAnsi="Times New Roman"/>
          <w:color w:val="auto"/>
          <w:sz w:val="24"/>
          <w:szCs w:val="24"/>
          <w:lang w:eastAsia="en-US" w:bidi="ar-SA"/>
        </w:rPr>
        <w:t xml:space="preserve"> gating on viable cells</w:t>
      </w:r>
      <w:r w:rsidR="00056D64" w:rsidRPr="00426803">
        <w:rPr>
          <w:rFonts w:ascii="Times New Roman" w:eastAsia="Aptos" w:hAnsi="Times New Roman"/>
          <w:color w:val="auto"/>
          <w:sz w:val="24"/>
          <w:szCs w:val="24"/>
          <w:lang w:eastAsia="en-US" w:bidi="ar-SA"/>
        </w:rPr>
        <w:t>.</w:t>
      </w:r>
      <w:r w:rsidR="00056D64" w:rsidRPr="00426803">
        <w:rPr>
          <w:rFonts w:ascii="Times New Roman" w:eastAsia="Aptos" w:hAnsi="Times New Roman"/>
          <w:b/>
          <w:bCs/>
          <w:color w:val="auto"/>
          <w:sz w:val="24"/>
          <w:szCs w:val="24"/>
          <w:lang w:eastAsia="en-US" w:bidi="ar-SA"/>
        </w:rPr>
        <w:t xml:space="preserve"> </w:t>
      </w:r>
      <w:r w:rsidR="00FE0547" w:rsidRPr="00426803">
        <w:rPr>
          <w:rFonts w:ascii="Times New Roman" w:hAnsi="Times New Roman"/>
          <w:color w:val="auto"/>
          <w:sz w:val="24"/>
          <w:szCs w:val="24"/>
        </w:rPr>
        <w:t xml:space="preserve">MM, control double sequential mock electroporation; </w:t>
      </w:r>
      <w:bookmarkStart w:id="0" w:name="_Hlk208177073"/>
      <w:r w:rsidR="00FE0547" w:rsidRPr="00426803">
        <w:rPr>
          <w:rFonts w:ascii="Times New Roman" w:hAnsi="Times New Roman"/>
          <w:color w:val="auto"/>
          <w:sz w:val="24"/>
          <w:szCs w:val="24"/>
        </w:rPr>
        <w:t xml:space="preserve">ST37, double sequential electroporation, first with </w:t>
      </w:r>
      <w:proofErr w:type="spellStart"/>
      <w:r w:rsidR="00FE0547" w:rsidRPr="00426803">
        <w:rPr>
          <w:rFonts w:ascii="Times New Roman" w:hAnsi="Times New Roman"/>
          <w:color w:val="auto"/>
          <w:sz w:val="24"/>
          <w:szCs w:val="24"/>
        </w:rPr>
        <w:t>DsiRNA</w:t>
      </w:r>
      <w:proofErr w:type="spellEnd"/>
      <w:r w:rsidR="00FE0547" w:rsidRPr="00426803">
        <w:rPr>
          <w:rFonts w:ascii="Times New Roman" w:hAnsi="Times New Roman"/>
          <w:color w:val="auto"/>
          <w:sz w:val="24"/>
          <w:szCs w:val="24"/>
        </w:rPr>
        <w:t xml:space="preserve"> directed against </w:t>
      </w:r>
      <w:r w:rsidR="00FE0547" w:rsidRPr="00426803">
        <w:rPr>
          <w:rFonts w:ascii="Times New Roman" w:hAnsi="Times New Roman"/>
          <w:i/>
          <w:iCs/>
          <w:color w:val="auto"/>
          <w:sz w:val="24"/>
          <w:szCs w:val="24"/>
        </w:rPr>
        <w:t>TRAC</w:t>
      </w:r>
      <w:r w:rsidR="00FE0547" w:rsidRPr="00426803">
        <w:rPr>
          <w:rFonts w:ascii="Times New Roman" w:hAnsi="Times New Roman"/>
          <w:color w:val="auto"/>
          <w:sz w:val="24"/>
          <w:szCs w:val="24"/>
        </w:rPr>
        <w:t xml:space="preserve"> and against </w:t>
      </w:r>
      <w:r w:rsidR="00FE0547"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TRBC </w:t>
      </w:r>
      <w:r w:rsidR="00FE0547" w:rsidRPr="00426803">
        <w:rPr>
          <w:rFonts w:ascii="Times New Roman" w:hAnsi="Times New Roman"/>
          <w:color w:val="auto"/>
          <w:sz w:val="24"/>
          <w:szCs w:val="24"/>
        </w:rPr>
        <w:t>mRNA</w:t>
      </w:r>
      <w:r w:rsidR="00FE0547"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, </w:t>
      </w:r>
      <w:r w:rsidR="00FE0547" w:rsidRPr="00426803">
        <w:rPr>
          <w:rFonts w:ascii="Times New Roman" w:hAnsi="Times New Roman"/>
          <w:color w:val="auto"/>
          <w:sz w:val="24"/>
          <w:szCs w:val="24"/>
        </w:rPr>
        <w:t xml:space="preserve">followed by </w:t>
      </w:r>
      <w:r w:rsidR="00FE0547" w:rsidRPr="00426803">
        <w:rPr>
          <w:rFonts w:ascii="Times New Roman" w:hAnsi="Times New Roman"/>
          <w:i/>
          <w:iCs/>
          <w:color w:val="auto"/>
          <w:sz w:val="24"/>
          <w:szCs w:val="24"/>
        </w:rPr>
        <w:t>WT1</w:t>
      </w:r>
      <w:r w:rsidR="00FE0547" w:rsidRPr="00426803">
        <w:rPr>
          <w:rFonts w:ascii="Times New Roman" w:hAnsi="Times New Roman"/>
          <w:i/>
          <w:iCs/>
          <w:color w:val="auto"/>
          <w:sz w:val="24"/>
          <w:szCs w:val="24"/>
          <w:vertAlign w:val="subscript"/>
        </w:rPr>
        <w:t>37-45</w:t>
      </w:r>
      <w:r w:rsidR="00FE0547" w:rsidRPr="00426803">
        <w:rPr>
          <w:rFonts w:ascii="Times New Roman" w:hAnsi="Times New Roman"/>
          <w:i/>
          <w:iCs/>
          <w:color w:val="auto"/>
          <w:sz w:val="24"/>
          <w:szCs w:val="24"/>
        </w:rPr>
        <w:t xml:space="preserve"> TCR</w:t>
      </w:r>
      <w:r w:rsidR="00FE0547" w:rsidRPr="00426803">
        <w:rPr>
          <w:rFonts w:ascii="Times New Roman" w:hAnsi="Times New Roman"/>
          <w:color w:val="auto"/>
          <w:sz w:val="24"/>
          <w:szCs w:val="24"/>
        </w:rPr>
        <w:t xml:space="preserve"> mRNA electroporation</w:t>
      </w:r>
      <w:bookmarkEnd w:id="0"/>
      <w:r w:rsidR="00FE0547" w:rsidRPr="00426803">
        <w:rPr>
          <w:rFonts w:ascii="Times New Roman" w:hAnsi="Times New Roman"/>
          <w:color w:val="auto"/>
          <w:sz w:val="24"/>
          <w:szCs w:val="24"/>
        </w:rPr>
        <w:t xml:space="preserve">; +CD8, </w:t>
      </w:r>
      <w:r w:rsidR="00FE0547" w:rsidRPr="00426803">
        <w:rPr>
          <w:rFonts w:ascii="Times New Roman" w:hAnsi="Times New Roman"/>
          <w:i/>
          <w:iCs/>
          <w:color w:val="auto"/>
          <w:sz w:val="24"/>
          <w:szCs w:val="24"/>
        </w:rPr>
        <w:t>CD8</w:t>
      </w:r>
      <w:r w:rsidR="00FE0547" w:rsidRPr="00426803">
        <w:rPr>
          <w:rFonts w:ascii="Times New Roman" w:hAnsi="Times New Roman"/>
          <w:color w:val="auto"/>
          <w:sz w:val="24"/>
          <w:szCs w:val="24"/>
        </w:rPr>
        <w:t xml:space="preserve"> mRNA co-electroporated with </w:t>
      </w:r>
      <w:r w:rsidR="00FE0547" w:rsidRPr="00426803">
        <w:rPr>
          <w:rFonts w:ascii="Times New Roman" w:hAnsi="Times New Roman"/>
          <w:i/>
          <w:iCs/>
          <w:color w:val="auto"/>
          <w:sz w:val="24"/>
          <w:szCs w:val="24"/>
        </w:rPr>
        <w:t>TCR</w:t>
      </w:r>
      <w:r w:rsidR="00FE0547" w:rsidRPr="00426803">
        <w:rPr>
          <w:rFonts w:ascii="Times New Roman" w:hAnsi="Times New Roman"/>
          <w:color w:val="auto"/>
          <w:sz w:val="24"/>
          <w:szCs w:val="24"/>
        </w:rPr>
        <w:t xml:space="preserve"> mRNA;</w:t>
      </w:r>
      <w:r w:rsidR="008418E4" w:rsidRPr="00426803">
        <w:rPr>
          <w:rFonts w:ascii="Times New Roman" w:hAnsi="Times New Roman"/>
          <w:color w:val="auto"/>
          <w:sz w:val="24"/>
          <w:szCs w:val="24"/>
        </w:rPr>
        <w:t xml:space="preserve"> +CD</w:t>
      </w:r>
      <w:r w:rsidR="005E310E" w:rsidRPr="00426803">
        <w:rPr>
          <w:rFonts w:ascii="Times New Roman" w:hAnsi="Times New Roman"/>
          <w:color w:val="auto"/>
          <w:sz w:val="24"/>
          <w:szCs w:val="24"/>
        </w:rPr>
        <w:t>3</w:t>
      </w:r>
      <w:r w:rsidR="00100D2F" w:rsidRPr="00426803">
        <w:rPr>
          <w:rFonts w:ascii="Times New Roman" w:hAnsi="Times New Roman"/>
          <w:color w:val="auto"/>
          <w:sz w:val="24"/>
          <w:szCs w:val="24"/>
        </w:rPr>
        <w:t xml:space="preserve">, </w:t>
      </w:r>
      <w:r w:rsidR="00CC11F4" w:rsidRPr="00426803">
        <w:rPr>
          <w:rFonts w:ascii="Times New Roman" w:hAnsi="Times New Roman"/>
          <w:i/>
          <w:iCs/>
          <w:color w:val="auto"/>
          <w:sz w:val="24"/>
          <w:szCs w:val="24"/>
        </w:rPr>
        <w:t>CD3</w:t>
      </w:r>
      <w:r w:rsidR="00DE4CC4" w:rsidRPr="00426803">
        <w:rPr>
          <w:rFonts w:ascii="Times New Roman" w:hAnsi="Times New Roman"/>
          <w:color w:val="auto"/>
          <w:sz w:val="24"/>
          <w:szCs w:val="24"/>
        </w:rPr>
        <w:t xml:space="preserve"> mRNA </w:t>
      </w:r>
      <w:r w:rsidR="00C8450E" w:rsidRPr="00426803">
        <w:rPr>
          <w:rFonts w:ascii="Times New Roman" w:hAnsi="Times New Roman"/>
          <w:color w:val="auto"/>
          <w:sz w:val="24"/>
          <w:szCs w:val="24"/>
        </w:rPr>
        <w:t xml:space="preserve">co-electroporated with </w:t>
      </w:r>
      <w:r w:rsidR="00C8450E" w:rsidRPr="00426803">
        <w:rPr>
          <w:rFonts w:ascii="Times New Roman" w:hAnsi="Times New Roman"/>
          <w:i/>
          <w:iCs/>
          <w:color w:val="auto"/>
          <w:sz w:val="24"/>
          <w:szCs w:val="24"/>
        </w:rPr>
        <w:t>TCR</w:t>
      </w:r>
      <w:r w:rsidR="00C8450E" w:rsidRPr="00426803">
        <w:rPr>
          <w:rFonts w:ascii="Times New Roman" w:hAnsi="Times New Roman"/>
          <w:color w:val="auto"/>
          <w:sz w:val="24"/>
          <w:szCs w:val="24"/>
        </w:rPr>
        <w:t xml:space="preserve"> and </w:t>
      </w:r>
      <w:r w:rsidR="00C8450E" w:rsidRPr="00426803">
        <w:rPr>
          <w:rFonts w:ascii="Times New Roman" w:hAnsi="Times New Roman"/>
          <w:i/>
          <w:iCs/>
          <w:color w:val="auto"/>
          <w:sz w:val="24"/>
          <w:szCs w:val="24"/>
        </w:rPr>
        <w:t>CD8</w:t>
      </w:r>
      <w:r w:rsidR="00C8450E" w:rsidRPr="00426803">
        <w:rPr>
          <w:rFonts w:ascii="Times New Roman" w:hAnsi="Times New Roman"/>
          <w:color w:val="auto"/>
          <w:sz w:val="24"/>
          <w:szCs w:val="24"/>
        </w:rPr>
        <w:t xml:space="preserve"> mRNA</w:t>
      </w:r>
      <w:r w:rsidR="00FE0547" w:rsidRPr="00426803">
        <w:rPr>
          <w:rFonts w:ascii="Times New Roman" w:hAnsi="Times New Roman"/>
          <w:color w:val="auto"/>
          <w:sz w:val="24"/>
          <w:szCs w:val="24"/>
        </w:rPr>
        <w:t>.</w:t>
      </w:r>
    </w:p>
    <w:p w14:paraId="79DF54A1" w14:textId="02901646" w:rsidR="00FE0547" w:rsidRPr="00426803" w:rsidRDefault="00741FCC" w:rsidP="0039383B">
      <w:pPr>
        <w:pStyle w:val="MDPI51figurecaption"/>
        <w:spacing w:before="0"/>
        <w:rPr>
          <w:rFonts w:ascii="Times New Roman" w:eastAsia="Aptos" w:hAnsi="Times New Roman"/>
          <w:b/>
          <w:bCs/>
          <w:color w:val="auto"/>
          <w:sz w:val="24"/>
          <w:szCs w:val="24"/>
          <w:lang w:eastAsia="en-US" w:bidi="ar-SA"/>
        </w:rPr>
      </w:pPr>
      <w:r w:rsidRPr="00426803">
        <w:rPr>
          <w:rFonts w:ascii="Times New Roman" w:hAnsi="Times New Roman"/>
          <w:color w:val="auto"/>
          <w:sz w:val="24"/>
          <w:szCs w:val="24"/>
        </w:rPr>
        <w:t>No visual differences were observed in membrane expression of CD3 or CD8 following electroporation with the respective mRNAs.</w:t>
      </w:r>
    </w:p>
    <w:p w14:paraId="3408FDBD" w14:textId="77777777" w:rsidR="00573536" w:rsidRPr="00426803" w:rsidRDefault="00573536" w:rsidP="00FE2364">
      <w:pPr>
        <w:pStyle w:val="MDPI51figurecaption"/>
        <w:rPr>
          <w:rFonts w:ascii="Times New Roman" w:hAnsi="Times New Roman"/>
          <w:b/>
          <w:bCs/>
          <w:color w:val="auto"/>
          <w:sz w:val="24"/>
          <w:szCs w:val="24"/>
        </w:rPr>
      </w:pPr>
    </w:p>
    <w:sectPr w:rsidR="00573536" w:rsidRPr="00426803" w:rsidSect="0093429D">
      <w:footerReference w:type="even" r:id="rId12"/>
      <w:footerReference w:type="default" r:id="rId13"/>
      <w:headerReference w:type="first" r:id="rId14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77F05" w14:textId="77777777" w:rsidR="00DB4F91" w:rsidRDefault="00DB4F91" w:rsidP="00117666">
      <w:pPr>
        <w:spacing w:after="0"/>
      </w:pPr>
      <w:r>
        <w:separator/>
      </w:r>
    </w:p>
  </w:endnote>
  <w:endnote w:type="continuationSeparator" w:id="0">
    <w:p w14:paraId="3A369B76" w14:textId="77777777" w:rsidR="00DB4F91" w:rsidRDefault="00DB4F91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025F" w14:textId="77777777" w:rsidR="00A4048C" w:rsidRPr="00577C4C" w:rsidRDefault="00A4048C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A4048C" w:rsidRPr="00577C4C" w:rsidRDefault="00A4048C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50BC4D33" w14:textId="77777777" w:rsidR="00A4048C" w:rsidRPr="00577C4C" w:rsidRDefault="00A4048C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6A35" w14:textId="77777777" w:rsidR="00A4048C" w:rsidRPr="00577C4C" w:rsidRDefault="00A4048C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A4048C" w:rsidRPr="00577C4C" w:rsidRDefault="00A4048C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570F0D09" w14:textId="77777777" w:rsidR="00A4048C" w:rsidRPr="00577C4C" w:rsidRDefault="00A4048C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AF340" w14:textId="77777777" w:rsidR="00DB4F91" w:rsidRDefault="00DB4F91" w:rsidP="00117666">
      <w:pPr>
        <w:spacing w:after="0"/>
      </w:pPr>
      <w:r>
        <w:separator/>
      </w:r>
    </w:p>
  </w:footnote>
  <w:footnote w:type="continuationSeparator" w:id="0">
    <w:p w14:paraId="28BBE2F5" w14:textId="77777777" w:rsidR="00DB4F91" w:rsidRDefault="00DB4F91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68C6" w14:textId="7A3CCDB8" w:rsidR="00A4048C" w:rsidRDefault="00A4048C" w:rsidP="0093429D">
    <w:r w:rsidRPr="007E3148">
      <w:rPr>
        <w:b/>
      </w:rPr>
      <w:ptab w:relativeTo="margin" w:alignment="center" w:leader="none"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Kop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jstaline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222643839">
    <w:abstractNumId w:val="0"/>
  </w:num>
  <w:num w:numId="2" w16cid:durableId="1444492054">
    <w:abstractNumId w:val="4"/>
  </w:num>
  <w:num w:numId="3" w16cid:durableId="1662847827">
    <w:abstractNumId w:val="1"/>
  </w:num>
  <w:num w:numId="4" w16cid:durableId="1444570004">
    <w:abstractNumId w:val="5"/>
  </w:num>
  <w:num w:numId="5" w16cid:durableId="71048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8425143">
    <w:abstractNumId w:val="3"/>
  </w:num>
  <w:num w:numId="7" w16cid:durableId="202909146">
    <w:abstractNumId w:val="6"/>
  </w:num>
  <w:num w:numId="8" w16cid:durableId="1313370721">
    <w:abstractNumId w:val="6"/>
  </w:num>
  <w:num w:numId="9" w16cid:durableId="1212154611">
    <w:abstractNumId w:val="6"/>
  </w:num>
  <w:num w:numId="10" w16cid:durableId="1200778567">
    <w:abstractNumId w:val="6"/>
  </w:num>
  <w:num w:numId="11" w16cid:durableId="467553382">
    <w:abstractNumId w:val="6"/>
  </w:num>
  <w:num w:numId="12" w16cid:durableId="1884365143">
    <w:abstractNumId w:val="6"/>
  </w:num>
  <w:num w:numId="13" w16cid:durableId="1102531233">
    <w:abstractNumId w:val="3"/>
  </w:num>
  <w:num w:numId="14" w16cid:durableId="617025743">
    <w:abstractNumId w:val="2"/>
  </w:num>
  <w:num w:numId="15" w16cid:durableId="425076434">
    <w:abstractNumId w:val="2"/>
  </w:num>
  <w:num w:numId="16" w16cid:durableId="451746609">
    <w:abstractNumId w:val="2"/>
  </w:num>
  <w:num w:numId="17" w16cid:durableId="859705511">
    <w:abstractNumId w:val="2"/>
  </w:num>
  <w:num w:numId="18" w16cid:durableId="927227442">
    <w:abstractNumId w:val="2"/>
  </w:num>
  <w:num w:numId="19" w16cid:durableId="163133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WxMDS2MDU0NDM1NTdS0lEKTi0uzszPAykwqwUAPQIQOSwAAAA="/>
  </w:docVars>
  <w:rsids>
    <w:rsidRoot w:val="00ED20B5"/>
    <w:rsid w:val="0001436A"/>
    <w:rsid w:val="00034304"/>
    <w:rsid w:val="00035434"/>
    <w:rsid w:val="00043577"/>
    <w:rsid w:val="00045B8E"/>
    <w:rsid w:val="00052A14"/>
    <w:rsid w:val="00056D64"/>
    <w:rsid w:val="00077D53"/>
    <w:rsid w:val="000953F3"/>
    <w:rsid w:val="000A1F88"/>
    <w:rsid w:val="000C7047"/>
    <w:rsid w:val="00100D2F"/>
    <w:rsid w:val="00105FD9"/>
    <w:rsid w:val="00106F84"/>
    <w:rsid w:val="00117666"/>
    <w:rsid w:val="00124C71"/>
    <w:rsid w:val="00130096"/>
    <w:rsid w:val="00141957"/>
    <w:rsid w:val="001456ED"/>
    <w:rsid w:val="0014697C"/>
    <w:rsid w:val="00146B30"/>
    <w:rsid w:val="001549D3"/>
    <w:rsid w:val="00160065"/>
    <w:rsid w:val="00175EA1"/>
    <w:rsid w:val="00177D84"/>
    <w:rsid w:val="002007BE"/>
    <w:rsid w:val="00267D18"/>
    <w:rsid w:val="00274347"/>
    <w:rsid w:val="0028207D"/>
    <w:rsid w:val="002868E2"/>
    <w:rsid w:val="002869C3"/>
    <w:rsid w:val="002936E4"/>
    <w:rsid w:val="002A3813"/>
    <w:rsid w:val="002A6538"/>
    <w:rsid w:val="002B4A57"/>
    <w:rsid w:val="002C74CA"/>
    <w:rsid w:val="002E1FC0"/>
    <w:rsid w:val="00303F52"/>
    <w:rsid w:val="003123F4"/>
    <w:rsid w:val="003544FB"/>
    <w:rsid w:val="00377744"/>
    <w:rsid w:val="0038563B"/>
    <w:rsid w:val="0039383B"/>
    <w:rsid w:val="003D2768"/>
    <w:rsid w:val="003D2F2D"/>
    <w:rsid w:val="003D5F4A"/>
    <w:rsid w:val="003E480E"/>
    <w:rsid w:val="003E6AE8"/>
    <w:rsid w:val="00401590"/>
    <w:rsid w:val="00420ED0"/>
    <w:rsid w:val="00426803"/>
    <w:rsid w:val="00447801"/>
    <w:rsid w:val="00452E9C"/>
    <w:rsid w:val="004735C8"/>
    <w:rsid w:val="0047725D"/>
    <w:rsid w:val="004947A6"/>
    <w:rsid w:val="004961FF"/>
    <w:rsid w:val="004D187D"/>
    <w:rsid w:val="004E5746"/>
    <w:rsid w:val="004F1F02"/>
    <w:rsid w:val="00517A89"/>
    <w:rsid w:val="005250F2"/>
    <w:rsid w:val="00566AEE"/>
    <w:rsid w:val="00573536"/>
    <w:rsid w:val="0058124F"/>
    <w:rsid w:val="00593EEA"/>
    <w:rsid w:val="005A0409"/>
    <w:rsid w:val="005A5EEE"/>
    <w:rsid w:val="005A70BB"/>
    <w:rsid w:val="005E310E"/>
    <w:rsid w:val="005F6EBC"/>
    <w:rsid w:val="00612919"/>
    <w:rsid w:val="0061493F"/>
    <w:rsid w:val="00617675"/>
    <w:rsid w:val="006375C7"/>
    <w:rsid w:val="00654E8F"/>
    <w:rsid w:val="006565F9"/>
    <w:rsid w:val="00660D05"/>
    <w:rsid w:val="006745A8"/>
    <w:rsid w:val="00676A4E"/>
    <w:rsid w:val="006820B1"/>
    <w:rsid w:val="00682DD0"/>
    <w:rsid w:val="00696C56"/>
    <w:rsid w:val="006B5675"/>
    <w:rsid w:val="006B7D14"/>
    <w:rsid w:val="006D7163"/>
    <w:rsid w:val="00701727"/>
    <w:rsid w:val="0070566C"/>
    <w:rsid w:val="0070643C"/>
    <w:rsid w:val="00710584"/>
    <w:rsid w:val="007145CB"/>
    <w:rsid w:val="00714C50"/>
    <w:rsid w:val="00723C5A"/>
    <w:rsid w:val="00725A7D"/>
    <w:rsid w:val="00741FCC"/>
    <w:rsid w:val="007501BE"/>
    <w:rsid w:val="00763D27"/>
    <w:rsid w:val="0078552F"/>
    <w:rsid w:val="00790BB3"/>
    <w:rsid w:val="0079248A"/>
    <w:rsid w:val="007B47BB"/>
    <w:rsid w:val="007C206C"/>
    <w:rsid w:val="0080259F"/>
    <w:rsid w:val="00811898"/>
    <w:rsid w:val="00817DD6"/>
    <w:rsid w:val="0083759F"/>
    <w:rsid w:val="008418E4"/>
    <w:rsid w:val="00866688"/>
    <w:rsid w:val="00873E2E"/>
    <w:rsid w:val="00881D08"/>
    <w:rsid w:val="00885156"/>
    <w:rsid w:val="008A75B1"/>
    <w:rsid w:val="008C2273"/>
    <w:rsid w:val="008C29D4"/>
    <w:rsid w:val="009151AA"/>
    <w:rsid w:val="00916A2C"/>
    <w:rsid w:val="00920C71"/>
    <w:rsid w:val="0093429D"/>
    <w:rsid w:val="0093640E"/>
    <w:rsid w:val="00943573"/>
    <w:rsid w:val="00945275"/>
    <w:rsid w:val="0094718C"/>
    <w:rsid w:val="00957375"/>
    <w:rsid w:val="00964134"/>
    <w:rsid w:val="009647B9"/>
    <w:rsid w:val="00970F7D"/>
    <w:rsid w:val="00994A3D"/>
    <w:rsid w:val="009A2DCD"/>
    <w:rsid w:val="009A38AB"/>
    <w:rsid w:val="009C2B12"/>
    <w:rsid w:val="009D14C4"/>
    <w:rsid w:val="009E23F9"/>
    <w:rsid w:val="00A14D63"/>
    <w:rsid w:val="00A174D9"/>
    <w:rsid w:val="00A4048C"/>
    <w:rsid w:val="00A4531A"/>
    <w:rsid w:val="00A550E6"/>
    <w:rsid w:val="00A6446E"/>
    <w:rsid w:val="00A65CE9"/>
    <w:rsid w:val="00A77F85"/>
    <w:rsid w:val="00A9138C"/>
    <w:rsid w:val="00A93871"/>
    <w:rsid w:val="00AA12A2"/>
    <w:rsid w:val="00AA4D24"/>
    <w:rsid w:val="00AB6715"/>
    <w:rsid w:val="00AC564A"/>
    <w:rsid w:val="00AD0967"/>
    <w:rsid w:val="00AD1594"/>
    <w:rsid w:val="00B1671E"/>
    <w:rsid w:val="00B25EB8"/>
    <w:rsid w:val="00B37F4D"/>
    <w:rsid w:val="00B458F2"/>
    <w:rsid w:val="00B73EC3"/>
    <w:rsid w:val="00B902CB"/>
    <w:rsid w:val="00BF3BB0"/>
    <w:rsid w:val="00BF7FB9"/>
    <w:rsid w:val="00C03E12"/>
    <w:rsid w:val="00C52A7B"/>
    <w:rsid w:val="00C56BAF"/>
    <w:rsid w:val="00C679AA"/>
    <w:rsid w:val="00C75972"/>
    <w:rsid w:val="00C8174A"/>
    <w:rsid w:val="00C8450E"/>
    <w:rsid w:val="00CC11F4"/>
    <w:rsid w:val="00CD066B"/>
    <w:rsid w:val="00CE4FEE"/>
    <w:rsid w:val="00D060CF"/>
    <w:rsid w:val="00D53F45"/>
    <w:rsid w:val="00D62092"/>
    <w:rsid w:val="00DB4F91"/>
    <w:rsid w:val="00DB59C3"/>
    <w:rsid w:val="00DC259A"/>
    <w:rsid w:val="00DC3BA5"/>
    <w:rsid w:val="00DD0DF0"/>
    <w:rsid w:val="00DE23E8"/>
    <w:rsid w:val="00DE4CC4"/>
    <w:rsid w:val="00E06ABA"/>
    <w:rsid w:val="00E37288"/>
    <w:rsid w:val="00E52377"/>
    <w:rsid w:val="00E537AD"/>
    <w:rsid w:val="00E64E17"/>
    <w:rsid w:val="00E866C9"/>
    <w:rsid w:val="00EA3D3C"/>
    <w:rsid w:val="00EB1EFC"/>
    <w:rsid w:val="00EC090A"/>
    <w:rsid w:val="00EC1594"/>
    <w:rsid w:val="00EC6CF4"/>
    <w:rsid w:val="00ED20B5"/>
    <w:rsid w:val="00EF4693"/>
    <w:rsid w:val="00F268F2"/>
    <w:rsid w:val="00F36D44"/>
    <w:rsid w:val="00F37CF3"/>
    <w:rsid w:val="00F46900"/>
    <w:rsid w:val="00F61D89"/>
    <w:rsid w:val="00F6505F"/>
    <w:rsid w:val="00FB3415"/>
    <w:rsid w:val="00FB4E09"/>
    <w:rsid w:val="00FD03CD"/>
    <w:rsid w:val="00FE0547"/>
    <w:rsid w:val="00FE2364"/>
    <w:rsid w:val="00FF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Kop1">
    <w:name w:val="heading 1"/>
    <w:basedOn w:val="Lijstalinea"/>
    <w:next w:val="Standaard"/>
    <w:link w:val="Kop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Kop2">
    <w:name w:val="heading 2"/>
    <w:basedOn w:val="Kop1"/>
    <w:next w:val="Standaard"/>
    <w:link w:val="Kop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Kop3">
    <w:name w:val="heading 3"/>
    <w:basedOn w:val="Standaard"/>
    <w:next w:val="Standaard"/>
    <w:link w:val="Kop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Kop4">
    <w:name w:val="heading 4"/>
    <w:basedOn w:val="Kop3"/>
    <w:next w:val="Standaard"/>
    <w:link w:val="Kop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Kop5">
    <w:name w:val="heading 5"/>
    <w:basedOn w:val="Kop4"/>
    <w:next w:val="Standaard"/>
    <w:link w:val="Kop5Char"/>
    <w:uiPriority w:val="2"/>
    <w:qFormat/>
    <w:rsid w:val="00AB6715"/>
    <w:pPr>
      <w:numPr>
        <w:ilvl w:val="4"/>
      </w:numPr>
      <w:outlineLvl w:val="4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Kop2Char">
    <w:name w:val="Kop 2 Char"/>
    <w:basedOn w:val="Standaardalinea-lettertype"/>
    <w:link w:val="Kop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Ondertitel">
    <w:name w:val="Subtitle"/>
    <w:basedOn w:val="Standaard"/>
    <w:next w:val="Standaard"/>
    <w:link w:val="Ondertitel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Ondertitel"/>
    <w:next w:val="Standaard"/>
    <w:uiPriority w:val="1"/>
    <w:qFormat/>
    <w:rsid w:val="00AB6715"/>
  </w:style>
  <w:style w:type="paragraph" w:styleId="Ballontekst">
    <w:name w:val="Balloon Text"/>
    <w:basedOn w:val="Standaard"/>
    <w:link w:val="Ballonteks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Titelvanboek">
    <w:name w:val="Book Title"/>
    <w:basedOn w:val="Standaardalinea-lettertype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Bijschrift">
    <w:name w:val="caption"/>
    <w:basedOn w:val="Standaard"/>
    <w:next w:val="Geenafstand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Geenafstand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AB671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AB6715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B671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AB6715"/>
    <w:rPr>
      <w:rFonts w:ascii="Times New Roman" w:hAnsi="Times New Roman"/>
      <w:i/>
      <w:iCs/>
    </w:rPr>
  </w:style>
  <w:style w:type="character" w:styleId="Eindnootmarkering">
    <w:name w:val="endnote reference"/>
    <w:basedOn w:val="Standaardalinea-lettertype"/>
    <w:uiPriority w:val="99"/>
    <w:semiHidden/>
    <w:unhideWhenUsed/>
    <w:rsid w:val="00AB6715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GevolgdeHyperlink">
    <w:name w:val="FollowedHyperlink"/>
    <w:basedOn w:val="Standaardalinea-lettertype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Voettekst">
    <w:name w:val="footer"/>
    <w:basedOn w:val="Standaard"/>
    <w:link w:val="Voettekst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uiPriority w:val="99"/>
    <w:rsid w:val="00AB6715"/>
    <w:rPr>
      <w:rFonts w:ascii="Times New Roman" w:hAnsi="Times New Roman"/>
      <w:sz w:val="24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AB6715"/>
    <w:rPr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KoptekstChar">
    <w:name w:val="Koptekst Char"/>
    <w:basedOn w:val="Standaardalinea-lettertype"/>
    <w:link w:val="Koptekst"/>
    <w:uiPriority w:val="99"/>
    <w:rsid w:val="00AB6715"/>
    <w:rPr>
      <w:rFonts w:ascii="Times New Roman" w:hAnsi="Times New Roman"/>
      <w:b/>
      <w:sz w:val="24"/>
    </w:rPr>
  </w:style>
  <w:style w:type="paragraph" w:styleId="Lijstalinea">
    <w:name w:val="List Paragraph"/>
    <w:basedOn w:val="Standaard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Standaardalinea-lettertype"/>
    <w:uiPriority w:val="99"/>
    <w:unhideWhenUsed/>
    <w:rsid w:val="00AB6715"/>
    <w:rPr>
      <w:color w:val="0000FF"/>
      <w:u w:val="single"/>
    </w:rPr>
  </w:style>
  <w:style w:type="character" w:styleId="Intensievebenadrukking">
    <w:name w:val="Intense Emphasis"/>
    <w:basedOn w:val="Standaardalinea-lettertype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ieveverwijzing">
    <w:name w:val="Intense Reference"/>
    <w:basedOn w:val="Standaardalinea-lettertype"/>
    <w:uiPriority w:val="32"/>
    <w:qFormat/>
    <w:rsid w:val="00AB6715"/>
    <w:rPr>
      <w:b/>
      <w:bCs/>
      <w:smallCaps/>
      <w:color w:val="auto"/>
      <w:spacing w:val="5"/>
    </w:rPr>
  </w:style>
  <w:style w:type="character" w:styleId="Regelnummer">
    <w:name w:val="line number"/>
    <w:basedOn w:val="Standaardalinea-lettertype"/>
    <w:uiPriority w:val="99"/>
    <w:semiHidden/>
    <w:unhideWhenUsed/>
    <w:rsid w:val="00AB6715"/>
  </w:style>
  <w:style w:type="character" w:customStyle="1" w:styleId="Kop3Char">
    <w:name w:val="Kop 3 Char"/>
    <w:basedOn w:val="Standaardalinea-lettertype"/>
    <w:link w:val="Kop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Kop5Char">
    <w:name w:val="Kop 5 Char"/>
    <w:basedOn w:val="Standaardalinea-lettertype"/>
    <w:link w:val="Kop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alweb">
    <w:name w:val="Normal (Web)"/>
    <w:basedOn w:val="Standaard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Citaat">
    <w:name w:val="Quote"/>
    <w:basedOn w:val="Standaard"/>
    <w:next w:val="Standaard"/>
    <w:link w:val="Citaat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Zwaar">
    <w:name w:val="Strong"/>
    <w:basedOn w:val="Standaardalinea-lettertype"/>
    <w:uiPriority w:val="22"/>
    <w:qFormat/>
    <w:rsid w:val="00AB6715"/>
    <w:rPr>
      <w:rFonts w:ascii="Times New Roman" w:hAnsi="Times New Roman"/>
      <w:b/>
      <w:bCs/>
    </w:rPr>
  </w:style>
  <w:style w:type="character" w:styleId="Subtielebenadrukking">
    <w:name w:val="Subtle Emphasis"/>
    <w:basedOn w:val="Standaardalinea-lettertype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elraster">
    <w:name w:val="Table Grid"/>
    <w:basedOn w:val="Standaardtabe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elChar">
    <w:name w:val="Titel Char"/>
    <w:basedOn w:val="Standaardalinea-lettertype"/>
    <w:link w:val="Titel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el"/>
    <w:next w:val="Titel"/>
    <w:qFormat/>
    <w:rsid w:val="0001436A"/>
    <w:pPr>
      <w:spacing w:after="120"/>
    </w:pPr>
    <w:rPr>
      <w:i/>
    </w:rPr>
  </w:style>
  <w:style w:type="paragraph" w:customStyle="1" w:styleId="MDPI51figurecaption">
    <w:name w:val="MDPI_5.1_figure_caption"/>
    <w:basedOn w:val="Standaard"/>
    <w:qFormat/>
    <w:rsid w:val="000A1F88"/>
    <w:pPr>
      <w:adjustRightInd w:val="0"/>
      <w:snapToGrid w:val="0"/>
      <w:jc w:val="both"/>
    </w:pPr>
    <w:rPr>
      <w:rFonts w:ascii="Palatino Linotype" w:eastAsia="Times New Roman" w:hAnsi="Palatino Linotype" w:cs="Times New Roman"/>
      <w:color w:val="000000"/>
      <w:sz w:val="18"/>
      <w:szCs w:val="20"/>
      <w:lang w:eastAsia="de-DE" w:bidi="en-US"/>
    </w:rPr>
  </w:style>
  <w:style w:type="paragraph" w:styleId="Revisie">
    <w:name w:val="Revision"/>
    <w:hidden/>
    <w:uiPriority w:val="99"/>
    <w:semiHidden/>
    <w:rsid w:val="00696C56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7A95B22-B4E8-4C8E-ABCB-1E2B9143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0</TotalTime>
  <Pages>5</Pages>
  <Words>766</Words>
  <Characters>4218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Donovan Flumens</cp:lastModifiedBy>
  <cp:revision>3</cp:revision>
  <cp:lastPrinted>2025-12-11T00:07:00Z</cp:lastPrinted>
  <dcterms:created xsi:type="dcterms:W3CDTF">2026-02-04T10:54:00Z</dcterms:created>
  <dcterms:modified xsi:type="dcterms:W3CDTF">2026-02-04T10:55:00Z</dcterms:modified>
</cp:coreProperties>
</file>