
<file path=[Content_Types].xml><?xml version="1.0" encoding="utf-8"?>
<Types xmlns="http://schemas.openxmlformats.org/package/2006/content-types">
  <Default Extension="tiff" ContentType="image/tif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9FD1A">
      <w:pPr>
        <w:spacing w:line="48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Supplementary tables and figures</w:t>
      </w:r>
    </w:p>
    <w:p w14:paraId="245F9FE5">
      <w:pPr>
        <w:spacing w:line="48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Supplementary</w:t>
      </w:r>
      <w:r>
        <w:rPr>
          <w:rFonts w:hint="eastAsia" w:ascii="Times New Roman" w:hAnsi="Times New Roman" w:cs="Times New Roman"/>
          <w:color w:val="000000" w:themeColor="text1"/>
          <w:sz w:val="24"/>
          <w:lang w:val="en-US" w:eastAsia="zh-CN"/>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Table 1: Composition of O</w:t>
      </w:r>
      <w:bookmarkStart w:id="7" w:name="_GoBack"/>
      <w:bookmarkEnd w:id="7"/>
      <w:r>
        <w:rPr>
          <w:rFonts w:ascii="Times New Roman" w:hAnsi="Times New Roman" w:cs="Times New Roman"/>
          <w:color w:val="000000" w:themeColor="text1"/>
          <w:sz w:val="24"/>
          <w14:textFill>
            <w14:solidFill>
              <w14:schemeClr w14:val="tx1"/>
            </w14:solidFill>
          </w14:textFill>
        </w:rPr>
        <w:t>rganoid Culture Medium</w:t>
      </w:r>
    </w:p>
    <w:tbl>
      <w:tblPr>
        <w:tblStyle w:val="16"/>
        <w:tblpPr w:leftFromText="180" w:rightFromText="180" w:vertAnchor="page" w:horzAnchor="page" w:tblpX="1767" w:tblpY="12992"/>
        <w:tblOverlap w:val="never"/>
        <w:tblW w:w="8642" w:type="dxa"/>
        <w:tblInd w:w="0" w:type="dxa"/>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2"/>
        <w:gridCol w:w="1878"/>
        <w:gridCol w:w="1688"/>
        <w:gridCol w:w="2104"/>
      </w:tblGrid>
      <w:tr w14:paraId="07611725">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12" w:space="0"/>
              <w:left w:val="nil"/>
              <w:bottom w:val="single" w:color="auto" w:sz="12" w:space="0"/>
              <w:right w:val="nil"/>
            </w:tcBorders>
            <w:shd w:val="clear" w:color="auto" w:fill="FFFFFF"/>
            <w:vAlign w:val="center"/>
          </w:tcPr>
          <w:p w14:paraId="0385D8AE">
            <w:pPr>
              <w:widowControl/>
              <w:spacing w:line="480" w:lineRule="auto"/>
              <w:jc w:val="left"/>
              <w:textAlignment w:val="center"/>
              <w:rPr>
                <w:rFonts w:ascii="Times New Roman" w:hAnsi="Times New Roman" w:cs="Times New Roman"/>
                <w:b/>
                <w:bCs/>
                <w:color w:val="000000" w:themeColor="text1"/>
                <w:kern w:val="0"/>
                <w:sz w:val="24"/>
                <w14:textFill>
                  <w14:solidFill>
                    <w14:schemeClr w14:val="tx1"/>
                  </w14:solidFill>
                </w14:textFill>
              </w:rPr>
            </w:pPr>
            <w:r>
              <w:rPr>
                <w:rFonts w:ascii="Times New Roman" w:hAnsi="Times New Roman" w:cs="Times New Roman"/>
                <w:b/>
                <w:bCs/>
                <w:color w:val="000000" w:themeColor="text1"/>
                <w:kern w:val="0"/>
                <w:sz w:val="24"/>
                <w14:textFill>
                  <w14:solidFill>
                    <w14:schemeClr w14:val="tx1"/>
                  </w14:solidFill>
                </w14:textFill>
              </w:rPr>
              <w:t>Component</w:t>
            </w:r>
          </w:p>
        </w:tc>
        <w:tc>
          <w:tcPr>
            <w:tcW w:w="1878" w:type="dxa"/>
            <w:tcBorders>
              <w:top w:val="single" w:color="auto" w:sz="12" w:space="0"/>
              <w:left w:val="nil"/>
              <w:bottom w:val="single" w:color="auto" w:sz="12" w:space="0"/>
              <w:right w:val="nil"/>
            </w:tcBorders>
            <w:shd w:val="clear" w:color="auto" w:fill="FFFFFF"/>
            <w:vAlign w:val="center"/>
          </w:tcPr>
          <w:p w14:paraId="40D63F70">
            <w:pPr>
              <w:widowControl/>
              <w:spacing w:line="480" w:lineRule="auto"/>
              <w:jc w:val="left"/>
              <w:textAlignment w:val="center"/>
              <w:rPr>
                <w:rFonts w:ascii="Times New Roman" w:hAnsi="Times New Roman" w:cs="Times New Roman"/>
                <w:b/>
                <w:bCs/>
                <w:color w:val="000000" w:themeColor="text1"/>
                <w:kern w:val="0"/>
                <w:sz w:val="24"/>
                <w14:textFill>
                  <w14:solidFill>
                    <w14:schemeClr w14:val="tx1"/>
                  </w14:solidFill>
                </w14:textFill>
              </w:rPr>
            </w:pPr>
            <w:r>
              <w:rPr>
                <w:rFonts w:ascii="Times New Roman" w:hAnsi="Times New Roman" w:cs="Times New Roman"/>
                <w:b/>
                <w:bCs/>
                <w:color w:val="000000" w:themeColor="text1"/>
                <w:kern w:val="0"/>
                <w:sz w:val="24"/>
                <w14:textFill>
                  <w14:solidFill>
                    <w14:schemeClr w14:val="tx1"/>
                  </w14:solidFill>
                </w14:textFill>
              </w:rPr>
              <w:t>Supplier</w:t>
            </w:r>
          </w:p>
        </w:tc>
        <w:tc>
          <w:tcPr>
            <w:tcW w:w="1688" w:type="dxa"/>
            <w:tcBorders>
              <w:top w:val="single" w:color="auto" w:sz="12" w:space="0"/>
              <w:left w:val="nil"/>
              <w:bottom w:val="single" w:color="auto" w:sz="12" w:space="0"/>
              <w:right w:val="nil"/>
            </w:tcBorders>
            <w:shd w:val="clear" w:color="auto" w:fill="FFFFFF"/>
            <w:vAlign w:val="center"/>
          </w:tcPr>
          <w:p w14:paraId="764C7650">
            <w:pPr>
              <w:widowControl/>
              <w:spacing w:line="480" w:lineRule="auto"/>
              <w:jc w:val="left"/>
              <w:textAlignment w:val="center"/>
              <w:rPr>
                <w:rFonts w:ascii="Times New Roman" w:hAnsi="Times New Roman" w:cs="Times New Roman"/>
                <w:b/>
                <w:bCs/>
                <w:color w:val="000000" w:themeColor="text1"/>
                <w:kern w:val="0"/>
                <w:sz w:val="24"/>
                <w14:textFill>
                  <w14:solidFill>
                    <w14:schemeClr w14:val="tx1"/>
                  </w14:solidFill>
                </w14:textFill>
              </w:rPr>
            </w:pPr>
            <w:r>
              <w:rPr>
                <w:rFonts w:ascii="Times New Roman" w:hAnsi="Times New Roman" w:cs="Times New Roman"/>
                <w:b/>
                <w:bCs/>
                <w:color w:val="000000" w:themeColor="text1"/>
                <w:kern w:val="0"/>
                <w:sz w:val="24"/>
                <w14:textFill>
                  <w14:solidFill>
                    <w14:schemeClr w14:val="tx1"/>
                  </w14:solidFill>
                </w14:textFill>
              </w:rPr>
              <w:t>Catalogue number</w:t>
            </w:r>
          </w:p>
        </w:tc>
        <w:tc>
          <w:tcPr>
            <w:tcW w:w="2104" w:type="dxa"/>
            <w:tcBorders>
              <w:top w:val="single" w:color="auto" w:sz="12" w:space="0"/>
              <w:left w:val="nil"/>
              <w:bottom w:val="single" w:color="auto" w:sz="12" w:space="0"/>
              <w:right w:val="nil"/>
            </w:tcBorders>
            <w:shd w:val="clear" w:color="auto" w:fill="FFFFFF"/>
            <w:vAlign w:val="center"/>
          </w:tcPr>
          <w:p w14:paraId="6E63D7F7">
            <w:pPr>
              <w:widowControl/>
              <w:spacing w:line="480" w:lineRule="auto"/>
              <w:jc w:val="left"/>
              <w:textAlignment w:val="center"/>
              <w:rPr>
                <w:rFonts w:ascii="Times New Roman" w:hAnsi="Times New Roman" w:cs="Times New Roman"/>
                <w:b/>
                <w:bCs/>
                <w:color w:val="000000" w:themeColor="text1"/>
                <w:kern w:val="0"/>
                <w:sz w:val="24"/>
                <w14:textFill>
                  <w14:solidFill>
                    <w14:schemeClr w14:val="tx1"/>
                  </w14:solidFill>
                </w14:textFill>
              </w:rPr>
            </w:pPr>
            <w:r>
              <w:rPr>
                <w:rFonts w:ascii="Times New Roman" w:hAnsi="Times New Roman" w:cs="Times New Roman"/>
                <w:b/>
                <w:bCs/>
                <w:color w:val="000000" w:themeColor="text1"/>
                <w:kern w:val="0"/>
                <w:sz w:val="24"/>
                <w14:textFill>
                  <w14:solidFill>
                    <w14:schemeClr w14:val="tx1"/>
                  </w14:solidFill>
                </w14:textFill>
              </w:rPr>
              <w:t>Final Concentration</w:t>
            </w:r>
          </w:p>
        </w:tc>
      </w:tr>
      <w:tr w14:paraId="5784C55D">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12" w:space="0"/>
              <w:left w:val="nil"/>
              <w:right w:val="nil"/>
            </w:tcBorders>
            <w:vAlign w:val="center"/>
          </w:tcPr>
          <w:p w14:paraId="32C19606">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Style w:val="18"/>
                <w:rFonts w:ascii="Times New Roman" w:hAnsi="Times New Roman" w:eastAsia="Helvetica" w:cs="Times New Roman"/>
                <w:bCs/>
                <w:color w:val="000000" w:themeColor="text1"/>
                <w:spacing w:val="4"/>
                <w:kern w:val="0"/>
                <w:sz w:val="24"/>
                <w14:textFill>
                  <w14:solidFill>
                    <w14:schemeClr w14:val="tx1"/>
                  </w14:solidFill>
                </w14:textFill>
              </w:rPr>
              <w:t>Base Medium</w:t>
            </w:r>
          </w:p>
        </w:tc>
        <w:tc>
          <w:tcPr>
            <w:tcW w:w="1878" w:type="dxa"/>
            <w:tcBorders>
              <w:top w:val="single" w:color="auto" w:sz="12" w:space="0"/>
              <w:left w:val="nil"/>
              <w:right w:val="nil"/>
            </w:tcBorders>
            <w:vAlign w:val="center"/>
          </w:tcPr>
          <w:p w14:paraId="47A524C5">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1688" w:type="dxa"/>
            <w:tcBorders>
              <w:top w:val="single" w:color="auto" w:sz="12" w:space="0"/>
              <w:left w:val="nil"/>
              <w:right w:val="nil"/>
            </w:tcBorders>
            <w:vAlign w:val="center"/>
          </w:tcPr>
          <w:p w14:paraId="25806313">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2104" w:type="dxa"/>
            <w:tcBorders>
              <w:top w:val="single" w:color="auto" w:sz="12" w:space="0"/>
              <w:left w:val="nil"/>
              <w:right w:val="nil"/>
            </w:tcBorders>
            <w:vAlign w:val="center"/>
          </w:tcPr>
          <w:p w14:paraId="49658AA5">
            <w:pPr>
              <w:spacing w:line="480" w:lineRule="auto"/>
              <w:jc w:val="left"/>
              <w:rPr>
                <w:rFonts w:ascii="Times New Roman" w:hAnsi="Times New Roman" w:cs="Times New Roman"/>
                <w:color w:val="000000" w:themeColor="text1"/>
                <w:kern w:val="0"/>
                <w:sz w:val="24"/>
                <w14:textFill>
                  <w14:solidFill>
                    <w14:schemeClr w14:val="tx1"/>
                  </w14:solidFill>
                </w14:textFill>
              </w:rPr>
            </w:pPr>
          </w:p>
        </w:tc>
      </w:tr>
      <w:tr w14:paraId="01BD7BB4">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1B94706E">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Advanced DMEM/F12</w:t>
            </w:r>
          </w:p>
        </w:tc>
        <w:tc>
          <w:tcPr>
            <w:tcW w:w="1878" w:type="dxa"/>
            <w:tcBorders>
              <w:left w:val="nil"/>
              <w:right w:val="nil"/>
            </w:tcBorders>
            <w:shd w:val="clear" w:color="auto" w:fill="auto"/>
            <w:vAlign w:val="center"/>
          </w:tcPr>
          <w:p w14:paraId="28A9F82A">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Invitrogen</w:t>
            </w:r>
          </w:p>
        </w:tc>
        <w:tc>
          <w:tcPr>
            <w:tcW w:w="1688" w:type="dxa"/>
            <w:tcBorders>
              <w:left w:val="nil"/>
              <w:right w:val="nil"/>
            </w:tcBorders>
            <w:shd w:val="clear" w:color="auto" w:fill="auto"/>
            <w:vAlign w:val="center"/>
          </w:tcPr>
          <w:p w14:paraId="1BA232AF">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12634-010</w:t>
            </w:r>
          </w:p>
        </w:tc>
        <w:tc>
          <w:tcPr>
            <w:tcW w:w="2104" w:type="dxa"/>
            <w:tcBorders>
              <w:left w:val="nil"/>
              <w:right w:val="nil"/>
            </w:tcBorders>
            <w:shd w:val="clear" w:color="auto" w:fill="auto"/>
            <w:vAlign w:val="center"/>
          </w:tcPr>
          <w:p w14:paraId="387F2BBB">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1x</w:t>
            </w:r>
          </w:p>
        </w:tc>
      </w:tr>
      <w:tr w14:paraId="3987FF94">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5D3F68E7">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Style w:val="18"/>
                <w:rFonts w:ascii="Times New Roman" w:hAnsi="Times New Roman" w:eastAsia="Helvetica" w:cs="Times New Roman"/>
                <w:bCs/>
                <w:color w:val="000000" w:themeColor="text1"/>
                <w:spacing w:val="4"/>
                <w:kern w:val="0"/>
                <w:sz w:val="24"/>
                <w14:textFill>
                  <w14:solidFill>
                    <w14:schemeClr w14:val="tx1"/>
                  </w14:solidFill>
                </w14:textFill>
              </w:rPr>
              <w:t>Supplements</w:t>
            </w:r>
          </w:p>
        </w:tc>
        <w:tc>
          <w:tcPr>
            <w:tcW w:w="1878" w:type="dxa"/>
            <w:tcBorders>
              <w:left w:val="nil"/>
              <w:right w:val="nil"/>
            </w:tcBorders>
            <w:shd w:val="clear" w:color="auto" w:fill="auto"/>
            <w:vAlign w:val="center"/>
          </w:tcPr>
          <w:p w14:paraId="64A84ED1">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1688" w:type="dxa"/>
            <w:tcBorders>
              <w:left w:val="nil"/>
              <w:right w:val="nil"/>
            </w:tcBorders>
            <w:shd w:val="clear" w:color="auto" w:fill="auto"/>
            <w:vAlign w:val="center"/>
          </w:tcPr>
          <w:p w14:paraId="27E4A429">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2104" w:type="dxa"/>
            <w:tcBorders>
              <w:left w:val="nil"/>
              <w:right w:val="nil"/>
            </w:tcBorders>
            <w:shd w:val="clear" w:color="auto" w:fill="auto"/>
            <w:vAlign w:val="center"/>
          </w:tcPr>
          <w:p w14:paraId="097A7285">
            <w:pPr>
              <w:spacing w:line="480" w:lineRule="auto"/>
              <w:jc w:val="left"/>
              <w:rPr>
                <w:rFonts w:ascii="Times New Roman" w:hAnsi="Times New Roman" w:cs="Times New Roman"/>
                <w:color w:val="000000" w:themeColor="text1"/>
                <w:kern w:val="0"/>
                <w:sz w:val="24"/>
                <w14:textFill>
                  <w14:solidFill>
                    <w14:schemeClr w14:val="tx1"/>
                  </w14:solidFill>
                </w14:textFill>
              </w:rPr>
            </w:pPr>
          </w:p>
        </w:tc>
      </w:tr>
      <w:tr w14:paraId="7ED83A0E">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3164B180">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B27 supplement</w:t>
            </w:r>
          </w:p>
        </w:tc>
        <w:tc>
          <w:tcPr>
            <w:tcW w:w="1878" w:type="dxa"/>
            <w:tcBorders>
              <w:left w:val="nil"/>
              <w:right w:val="nil"/>
            </w:tcBorders>
            <w:shd w:val="clear" w:color="auto" w:fill="auto"/>
            <w:vAlign w:val="center"/>
          </w:tcPr>
          <w:p w14:paraId="7EFA4214">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Gibco</w:t>
            </w:r>
          </w:p>
        </w:tc>
        <w:tc>
          <w:tcPr>
            <w:tcW w:w="1688" w:type="dxa"/>
            <w:tcBorders>
              <w:left w:val="nil"/>
              <w:right w:val="nil"/>
            </w:tcBorders>
            <w:shd w:val="clear" w:color="auto" w:fill="auto"/>
            <w:vAlign w:val="center"/>
          </w:tcPr>
          <w:p w14:paraId="61C5FD83">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17504-044</w:t>
            </w:r>
          </w:p>
        </w:tc>
        <w:tc>
          <w:tcPr>
            <w:tcW w:w="2104" w:type="dxa"/>
            <w:tcBorders>
              <w:left w:val="nil"/>
              <w:right w:val="nil"/>
            </w:tcBorders>
            <w:shd w:val="clear" w:color="auto" w:fill="auto"/>
            <w:vAlign w:val="center"/>
          </w:tcPr>
          <w:p w14:paraId="039B7B5C">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1x</w:t>
            </w:r>
          </w:p>
        </w:tc>
      </w:tr>
      <w:tr w14:paraId="3ED93674">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48382FC9">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Glutamax 100x</w:t>
            </w:r>
          </w:p>
        </w:tc>
        <w:tc>
          <w:tcPr>
            <w:tcW w:w="1878" w:type="dxa"/>
            <w:tcBorders>
              <w:left w:val="nil"/>
              <w:right w:val="nil"/>
            </w:tcBorders>
            <w:shd w:val="clear" w:color="auto" w:fill="auto"/>
            <w:vAlign w:val="center"/>
          </w:tcPr>
          <w:p w14:paraId="2E8DFFDF">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Gibco</w:t>
            </w:r>
          </w:p>
        </w:tc>
        <w:tc>
          <w:tcPr>
            <w:tcW w:w="1688" w:type="dxa"/>
            <w:tcBorders>
              <w:left w:val="nil"/>
              <w:right w:val="nil"/>
            </w:tcBorders>
            <w:shd w:val="clear" w:color="auto" w:fill="auto"/>
            <w:vAlign w:val="center"/>
          </w:tcPr>
          <w:p w14:paraId="189DDD4A">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35050061</w:t>
            </w:r>
          </w:p>
        </w:tc>
        <w:tc>
          <w:tcPr>
            <w:tcW w:w="2104" w:type="dxa"/>
            <w:tcBorders>
              <w:left w:val="nil"/>
              <w:right w:val="nil"/>
            </w:tcBorders>
            <w:shd w:val="clear" w:color="auto" w:fill="auto"/>
            <w:vAlign w:val="center"/>
          </w:tcPr>
          <w:p w14:paraId="7B3F1A19">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1x</w:t>
            </w:r>
          </w:p>
        </w:tc>
      </w:tr>
      <w:tr w14:paraId="18D11A01">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2E0AE645">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HEPES</w:t>
            </w:r>
          </w:p>
        </w:tc>
        <w:tc>
          <w:tcPr>
            <w:tcW w:w="1878" w:type="dxa"/>
            <w:tcBorders>
              <w:left w:val="nil"/>
              <w:right w:val="nil"/>
            </w:tcBorders>
            <w:shd w:val="clear" w:color="auto" w:fill="auto"/>
            <w:vAlign w:val="center"/>
          </w:tcPr>
          <w:p w14:paraId="7330AEA5">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Solarbio</w:t>
            </w:r>
          </w:p>
        </w:tc>
        <w:tc>
          <w:tcPr>
            <w:tcW w:w="1688" w:type="dxa"/>
            <w:tcBorders>
              <w:left w:val="nil"/>
              <w:right w:val="nil"/>
            </w:tcBorders>
            <w:shd w:val="clear" w:color="auto" w:fill="auto"/>
            <w:vAlign w:val="center"/>
          </w:tcPr>
          <w:p w14:paraId="2DA8D805">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H1095</w:t>
            </w:r>
          </w:p>
        </w:tc>
        <w:tc>
          <w:tcPr>
            <w:tcW w:w="2104" w:type="dxa"/>
            <w:tcBorders>
              <w:left w:val="nil"/>
              <w:right w:val="nil"/>
            </w:tcBorders>
            <w:shd w:val="clear" w:color="auto" w:fill="auto"/>
            <w:vAlign w:val="center"/>
          </w:tcPr>
          <w:p w14:paraId="4173F6D5">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10 mM</w:t>
            </w:r>
          </w:p>
        </w:tc>
      </w:tr>
      <w:tr w14:paraId="4BC48A5B">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28DF5CED">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Style w:val="18"/>
                <w:rFonts w:ascii="Times New Roman" w:hAnsi="Times New Roman" w:eastAsia="Helvetica" w:cs="Times New Roman"/>
                <w:bCs/>
                <w:color w:val="000000" w:themeColor="text1"/>
                <w:spacing w:val="4"/>
                <w:kern w:val="0"/>
                <w:sz w:val="24"/>
                <w14:textFill>
                  <w14:solidFill>
                    <w14:schemeClr w14:val="tx1"/>
                  </w14:solidFill>
                </w14:textFill>
              </w:rPr>
              <w:t>Antibiotics</w:t>
            </w:r>
          </w:p>
        </w:tc>
        <w:tc>
          <w:tcPr>
            <w:tcW w:w="1878" w:type="dxa"/>
            <w:tcBorders>
              <w:left w:val="nil"/>
              <w:right w:val="nil"/>
            </w:tcBorders>
            <w:shd w:val="clear" w:color="auto" w:fill="auto"/>
            <w:vAlign w:val="center"/>
          </w:tcPr>
          <w:p w14:paraId="1BFCAB4B">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1688" w:type="dxa"/>
            <w:tcBorders>
              <w:left w:val="nil"/>
              <w:right w:val="nil"/>
            </w:tcBorders>
            <w:shd w:val="clear" w:color="auto" w:fill="auto"/>
            <w:vAlign w:val="center"/>
          </w:tcPr>
          <w:p w14:paraId="474422C1">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2104" w:type="dxa"/>
            <w:tcBorders>
              <w:left w:val="nil"/>
              <w:right w:val="nil"/>
            </w:tcBorders>
            <w:shd w:val="clear" w:color="auto" w:fill="auto"/>
            <w:vAlign w:val="center"/>
          </w:tcPr>
          <w:p w14:paraId="1BF61D08">
            <w:pPr>
              <w:spacing w:line="480" w:lineRule="auto"/>
              <w:jc w:val="left"/>
              <w:rPr>
                <w:rFonts w:ascii="Times New Roman" w:hAnsi="Times New Roman" w:cs="Times New Roman"/>
                <w:color w:val="000000" w:themeColor="text1"/>
                <w:kern w:val="0"/>
                <w:sz w:val="24"/>
                <w14:textFill>
                  <w14:solidFill>
                    <w14:schemeClr w14:val="tx1"/>
                  </w14:solidFill>
                </w14:textFill>
              </w:rPr>
            </w:pPr>
          </w:p>
        </w:tc>
      </w:tr>
      <w:tr w14:paraId="2A6D210D">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4DFCA5B7">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Penicillin/Streptomycin</w:t>
            </w:r>
          </w:p>
        </w:tc>
        <w:tc>
          <w:tcPr>
            <w:tcW w:w="1878" w:type="dxa"/>
            <w:tcBorders>
              <w:left w:val="nil"/>
              <w:right w:val="nil"/>
            </w:tcBorders>
            <w:shd w:val="clear" w:color="auto" w:fill="auto"/>
            <w:vAlign w:val="center"/>
          </w:tcPr>
          <w:p w14:paraId="706E4375">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Gibco</w:t>
            </w:r>
          </w:p>
        </w:tc>
        <w:tc>
          <w:tcPr>
            <w:tcW w:w="1688" w:type="dxa"/>
            <w:tcBorders>
              <w:left w:val="nil"/>
              <w:right w:val="nil"/>
            </w:tcBorders>
            <w:shd w:val="clear" w:color="auto" w:fill="auto"/>
            <w:vAlign w:val="center"/>
          </w:tcPr>
          <w:p w14:paraId="511EC182">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15140122</w:t>
            </w:r>
          </w:p>
        </w:tc>
        <w:tc>
          <w:tcPr>
            <w:tcW w:w="2104" w:type="dxa"/>
            <w:tcBorders>
              <w:left w:val="nil"/>
              <w:right w:val="nil"/>
            </w:tcBorders>
            <w:shd w:val="clear" w:color="auto" w:fill="auto"/>
            <w:vAlign w:val="center"/>
          </w:tcPr>
          <w:p w14:paraId="23F2888C">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1%</w:t>
            </w:r>
          </w:p>
        </w:tc>
      </w:tr>
      <w:tr w14:paraId="36542A3E">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3799C06C">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Primocin</w:t>
            </w:r>
          </w:p>
        </w:tc>
        <w:tc>
          <w:tcPr>
            <w:tcW w:w="1878" w:type="dxa"/>
            <w:tcBorders>
              <w:left w:val="nil"/>
              <w:right w:val="nil"/>
            </w:tcBorders>
            <w:shd w:val="clear" w:color="auto" w:fill="auto"/>
            <w:vAlign w:val="center"/>
          </w:tcPr>
          <w:p w14:paraId="2077BAC4">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Invivogen</w:t>
            </w:r>
          </w:p>
        </w:tc>
        <w:tc>
          <w:tcPr>
            <w:tcW w:w="1688" w:type="dxa"/>
            <w:tcBorders>
              <w:left w:val="nil"/>
              <w:right w:val="nil"/>
            </w:tcBorders>
            <w:shd w:val="clear" w:color="auto" w:fill="auto"/>
            <w:vAlign w:val="center"/>
          </w:tcPr>
          <w:p w14:paraId="2C44A847">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ant-pm-1</w:t>
            </w:r>
          </w:p>
        </w:tc>
        <w:tc>
          <w:tcPr>
            <w:tcW w:w="2104" w:type="dxa"/>
            <w:tcBorders>
              <w:left w:val="nil"/>
              <w:right w:val="nil"/>
            </w:tcBorders>
            <w:shd w:val="clear" w:color="auto" w:fill="auto"/>
            <w:vAlign w:val="center"/>
          </w:tcPr>
          <w:p w14:paraId="60F872AC">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50 µg/mL</w:t>
            </w:r>
          </w:p>
        </w:tc>
      </w:tr>
      <w:tr w14:paraId="7253CE0F">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55E56CBB">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Style w:val="18"/>
                <w:rFonts w:ascii="Times New Roman" w:hAnsi="Times New Roman" w:eastAsia="Helvetica" w:cs="Times New Roman"/>
                <w:bCs/>
                <w:color w:val="000000" w:themeColor="text1"/>
                <w:spacing w:val="4"/>
                <w:kern w:val="0"/>
                <w:sz w:val="24"/>
                <w14:textFill>
                  <w14:solidFill>
                    <w14:schemeClr w14:val="tx1"/>
                  </w14:solidFill>
                </w14:textFill>
              </w:rPr>
              <w:t>Small Molecules/Inhibitors</w:t>
            </w:r>
          </w:p>
        </w:tc>
        <w:tc>
          <w:tcPr>
            <w:tcW w:w="1878" w:type="dxa"/>
            <w:tcBorders>
              <w:left w:val="nil"/>
              <w:right w:val="nil"/>
            </w:tcBorders>
            <w:shd w:val="clear" w:color="auto" w:fill="auto"/>
            <w:vAlign w:val="center"/>
          </w:tcPr>
          <w:p w14:paraId="5D892476">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1688" w:type="dxa"/>
            <w:tcBorders>
              <w:left w:val="nil"/>
              <w:right w:val="nil"/>
            </w:tcBorders>
            <w:shd w:val="clear" w:color="auto" w:fill="auto"/>
            <w:vAlign w:val="center"/>
          </w:tcPr>
          <w:p w14:paraId="7148BD99">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2104" w:type="dxa"/>
            <w:tcBorders>
              <w:left w:val="nil"/>
              <w:right w:val="nil"/>
            </w:tcBorders>
            <w:shd w:val="clear" w:color="auto" w:fill="auto"/>
            <w:vAlign w:val="center"/>
          </w:tcPr>
          <w:p w14:paraId="0E9E84A8">
            <w:pPr>
              <w:spacing w:line="480" w:lineRule="auto"/>
              <w:jc w:val="left"/>
              <w:rPr>
                <w:rFonts w:ascii="Times New Roman" w:hAnsi="Times New Roman" w:cs="Times New Roman"/>
                <w:color w:val="000000" w:themeColor="text1"/>
                <w:kern w:val="0"/>
                <w:sz w:val="24"/>
                <w14:textFill>
                  <w14:solidFill>
                    <w14:schemeClr w14:val="tx1"/>
                  </w14:solidFill>
                </w14:textFill>
              </w:rPr>
            </w:pPr>
          </w:p>
        </w:tc>
      </w:tr>
      <w:tr w14:paraId="6508AF66">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14151C06">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Y-27632 (Rock inhibitor)</w:t>
            </w:r>
          </w:p>
        </w:tc>
        <w:tc>
          <w:tcPr>
            <w:tcW w:w="1878" w:type="dxa"/>
            <w:tcBorders>
              <w:left w:val="nil"/>
              <w:right w:val="nil"/>
            </w:tcBorders>
            <w:shd w:val="clear" w:color="auto" w:fill="auto"/>
            <w:vAlign w:val="center"/>
          </w:tcPr>
          <w:p w14:paraId="08E0CE5A">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Abmole</w:t>
            </w:r>
          </w:p>
        </w:tc>
        <w:tc>
          <w:tcPr>
            <w:tcW w:w="1688" w:type="dxa"/>
            <w:tcBorders>
              <w:left w:val="nil"/>
              <w:right w:val="nil"/>
            </w:tcBorders>
            <w:shd w:val="clear" w:color="auto" w:fill="auto"/>
            <w:vAlign w:val="center"/>
          </w:tcPr>
          <w:p w14:paraId="335900B4">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M1817</w:t>
            </w:r>
          </w:p>
        </w:tc>
        <w:tc>
          <w:tcPr>
            <w:tcW w:w="2104" w:type="dxa"/>
            <w:tcBorders>
              <w:left w:val="nil"/>
              <w:right w:val="nil"/>
            </w:tcBorders>
            <w:shd w:val="clear" w:color="auto" w:fill="auto"/>
            <w:vAlign w:val="center"/>
          </w:tcPr>
          <w:p w14:paraId="787CC118">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5 µM</w:t>
            </w:r>
          </w:p>
        </w:tc>
      </w:tr>
      <w:tr w14:paraId="43AFD380">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193DDBA9">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A83-01</w:t>
            </w:r>
          </w:p>
        </w:tc>
        <w:tc>
          <w:tcPr>
            <w:tcW w:w="1878" w:type="dxa"/>
            <w:tcBorders>
              <w:left w:val="nil"/>
              <w:right w:val="nil"/>
            </w:tcBorders>
            <w:shd w:val="clear" w:color="auto" w:fill="auto"/>
            <w:vAlign w:val="center"/>
          </w:tcPr>
          <w:p w14:paraId="7520A2AE">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Tocris</w:t>
            </w:r>
          </w:p>
        </w:tc>
        <w:tc>
          <w:tcPr>
            <w:tcW w:w="1688" w:type="dxa"/>
            <w:tcBorders>
              <w:left w:val="nil"/>
              <w:right w:val="nil"/>
            </w:tcBorders>
            <w:shd w:val="clear" w:color="auto" w:fill="auto"/>
            <w:vAlign w:val="center"/>
          </w:tcPr>
          <w:p w14:paraId="000DE793">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2939</w:t>
            </w:r>
          </w:p>
        </w:tc>
        <w:tc>
          <w:tcPr>
            <w:tcW w:w="2104" w:type="dxa"/>
            <w:tcBorders>
              <w:left w:val="nil"/>
              <w:right w:val="nil"/>
            </w:tcBorders>
            <w:shd w:val="clear" w:color="auto" w:fill="auto"/>
            <w:vAlign w:val="center"/>
          </w:tcPr>
          <w:p w14:paraId="30799758">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500 nM</w:t>
            </w:r>
          </w:p>
        </w:tc>
      </w:tr>
      <w:tr w14:paraId="28FF8A6A">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shd w:val="clear" w:color="auto" w:fill="auto"/>
            <w:vAlign w:val="center"/>
          </w:tcPr>
          <w:p w14:paraId="4B51B662">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SB 202190</w:t>
            </w:r>
          </w:p>
        </w:tc>
        <w:tc>
          <w:tcPr>
            <w:tcW w:w="1878" w:type="dxa"/>
            <w:tcBorders>
              <w:left w:val="nil"/>
              <w:right w:val="nil"/>
            </w:tcBorders>
            <w:shd w:val="clear" w:color="auto" w:fill="auto"/>
            <w:vAlign w:val="center"/>
          </w:tcPr>
          <w:p w14:paraId="18CEA220">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Sigma</w:t>
            </w:r>
          </w:p>
        </w:tc>
        <w:tc>
          <w:tcPr>
            <w:tcW w:w="1688" w:type="dxa"/>
            <w:tcBorders>
              <w:left w:val="nil"/>
              <w:right w:val="nil"/>
            </w:tcBorders>
            <w:shd w:val="clear" w:color="auto" w:fill="auto"/>
            <w:vAlign w:val="center"/>
          </w:tcPr>
          <w:p w14:paraId="4A2E54E8">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S7067</w:t>
            </w:r>
          </w:p>
        </w:tc>
        <w:tc>
          <w:tcPr>
            <w:tcW w:w="2104" w:type="dxa"/>
            <w:tcBorders>
              <w:left w:val="nil"/>
              <w:right w:val="nil"/>
            </w:tcBorders>
            <w:shd w:val="clear" w:color="auto" w:fill="auto"/>
            <w:vAlign w:val="center"/>
          </w:tcPr>
          <w:p w14:paraId="6E7C135B">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500 nM</w:t>
            </w:r>
          </w:p>
        </w:tc>
      </w:tr>
      <w:tr w14:paraId="0F6F9D38">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vAlign w:val="center"/>
          </w:tcPr>
          <w:p w14:paraId="6E6DBDD3">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Style w:val="18"/>
                <w:rFonts w:ascii="Times New Roman" w:hAnsi="Times New Roman" w:eastAsia="Helvetica" w:cs="Times New Roman"/>
                <w:bCs/>
                <w:color w:val="000000" w:themeColor="text1"/>
                <w:spacing w:val="4"/>
                <w:kern w:val="0"/>
                <w:sz w:val="24"/>
                <w14:textFill>
                  <w14:solidFill>
                    <w14:schemeClr w14:val="tx1"/>
                  </w14:solidFill>
                </w14:textFill>
              </w:rPr>
              <w:t>Growth Factors</w:t>
            </w:r>
          </w:p>
        </w:tc>
        <w:tc>
          <w:tcPr>
            <w:tcW w:w="1878" w:type="dxa"/>
            <w:tcBorders>
              <w:left w:val="nil"/>
              <w:right w:val="nil"/>
            </w:tcBorders>
            <w:vAlign w:val="center"/>
          </w:tcPr>
          <w:p w14:paraId="03184623">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1688" w:type="dxa"/>
            <w:tcBorders>
              <w:left w:val="nil"/>
              <w:right w:val="nil"/>
            </w:tcBorders>
            <w:vAlign w:val="center"/>
          </w:tcPr>
          <w:p w14:paraId="55475134">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2104" w:type="dxa"/>
            <w:tcBorders>
              <w:left w:val="nil"/>
              <w:right w:val="nil"/>
            </w:tcBorders>
            <w:vAlign w:val="center"/>
          </w:tcPr>
          <w:p w14:paraId="2C032357">
            <w:pPr>
              <w:spacing w:line="480" w:lineRule="auto"/>
              <w:jc w:val="left"/>
              <w:rPr>
                <w:rFonts w:ascii="Times New Roman" w:hAnsi="Times New Roman" w:cs="Times New Roman"/>
                <w:color w:val="000000" w:themeColor="text1"/>
                <w:kern w:val="0"/>
                <w:sz w:val="24"/>
                <w14:textFill>
                  <w14:solidFill>
                    <w14:schemeClr w14:val="tx1"/>
                  </w14:solidFill>
                </w14:textFill>
              </w:rPr>
            </w:pPr>
          </w:p>
        </w:tc>
      </w:tr>
      <w:tr w14:paraId="7F5D5414">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vAlign w:val="center"/>
          </w:tcPr>
          <w:p w14:paraId="47EF344D">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FGF-7</w:t>
            </w:r>
          </w:p>
        </w:tc>
        <w:tc>
          <w:tcPr>
            <w:tcW w:w="1878" w:type="dxa"/>
            <w:tcBorders>
              <w:left w:val="nil"/>
              <w:right w:val="nil"/>
            </w:tcBorders>
            <w:vAlign w:val="center"/>
          </w:tcPr>
          <w:p w14:paraId="3EB64856">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OrganRegen</w:t>
            </w:r>
          </w:p>
        </w:tc>
        <w:tc>
          <w:tcPr>
            <w:tcW w:w="1688" w:type="dxa"/>
            <w:tcBorders>
              <w:left w:val="nil"/>
              <w:right w:val="nil"/>
            </w:tcBorders>
            <w:vAlign w:val="center"/>
          </w:tcPr>
          <w:p w14:paraId="7201E754">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923-FG7-0100</w:t>
            </w:r>
          </w:p>
        </w:tc>
        <w:tc>
          <w:tcPr>
            <w:tcW w:w="2104" w:type="dxa"/>
            <w:tcBorders>
              <w:left w:val="nil"/>
              <w:right w:val="nil"/>
            </w:tcBorders>
            <w:vAlign w:val="center"/>
          </w:tcPr>
          <w:p w14:paraId="4E14646C">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5 ng/mL</w:t>
            </w:r>
          </w:p>
        </w:tc>
      </w:tr>
      <w:tr w14:paraId="03B8573B">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vAlign w:val="center"/>
          </w:tcPr>
          <w:p w14:paraId="3A6F8318">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FGF-10</w:t>
            </w:r>
          </w:p>
        </w:tc>
        <w:tc>
          <w:tcPr>
            <w:tcW w:w="1878" w:type="dxa"/>
            <w:tcBorders>
              <w:left w:val="nil"/>
              <w:right w:val="nil"/>
            </w:tcBorders>
            <w:vAlign w:val="center"/>
          </w:tcPr>
          <w:p w14:paraId="6305050F">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OrganRegen</w:t>
            </w:r>
          </w:p>
        </w:tc>
        <w:tc>
          <w:tcPr>
            <w:tcW w:w="1688" w:type="dxa"/>
            <w:tcBorders>
              <w:left w:val="nil"/>
              <w:right w:val="nil"/>
            </w:tcBorders>
            <w:vAlign w:val="center"/>
          </w:tcPr>
          <w:p w14:paraId="52A00C61">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816-FGF-0100</w:t>
            </w:r>
          </w:p>
        </w:tc>
        <w:tc>
          <w:tcPr>
            <w:tcW w:w="2104" w:type="dxa"/>
            <w:tcBorders>
              <w:left w:val="nil"/>
              <w:right w:val="nil"/>
            </w:tcBorders>
            <w:vAlign w:val="center"/>
          </w:tcPr>
          <w:p w14:paraId="6107CFB6">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20 ng/mL</w:t>
            </w:r>
          </w:p>
        </w:tc>
      </w:tr>
      <w:tr w14:paraId="6237937D">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vAlign w:val="center"/>
          </w:tcPr>
          <w:p w14:paraId="51F72B4E">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EGF</w:t>
            </w:r>
          </w:p>
        </w:tc>
        <w:tc>
          <w:tcPr>
            <w:tcW w:w="1878" w:type="dxa"/>
            <w:tcBorders>
              <w:left w:val="nil"/>
              <w:right w:val="nil"/>
            </w:tcBorders>
            <w:vAlign w:val="center"/>
          </w:tcPr>
          <w:p w14:paraId="12452402">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Peprotech</w:t>
            </w:r>
          </w:p>
        </w:tc>
        <w:tc>
          <w:tcPr>
            <w:tcW w:w="1688" w:type="dxa"/>
            <w:tcBorders>
              <w:left w:val="nil"/>
              <w:right w:val="nil"/>
            </w:tcBorders>
            <w:vAlign w:val="center"/>
          </w:tcPr>
          <w:p w14:paraId="01831DF2">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AF-100-15</w:t>
            </w:r>
          </w:p>
        </w:tc>
        <w:tc>
          <w:tcPr>
            <w:tcW w:w="2104" w:type="dxa"/>
            <w:tcBorders>
              <w:left w:val="nil"/>
              <w:right w:val="nil"/>
            </w:tcBorders>
            <w:vAlign w:val="center"/>
          </w:tcPr>
          <w:p w14:paraId="1E208FC1">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5 ng/mL</w:t>
            </w:r>
          </w:p>
        </w:tc>
      </w:tr>
      <w:tr w14:paraId="30B08C96">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vAlign w:val="center"/>
          </w:tcPr>
          <w:p w14:paraId="0922067B">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Noggin</w:t>
            </w:r>
          </w:p>
        </w:tc>
        <w:tc>
          <w:tcPr>
            <w:tcW w:w="1878" w:type="dxa"/>
            <w:tcBorders>
              <w:left w:val="nil"/>
              <w:right w:val="nil"/>
            </w:tcBorders>
            <w:vAlign w:val="center"/>
          </w:tcPr>
          <w:p w14:paraId="795F533A">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Novoprotein</w:t>
            </w:r>
          </w:p>
        </w:tc>
        <w:tc>
          <w:tcPr>
            <w:tcW w:w="1688" w:type="dxa"/>
            <w:tcBorders>
              <w:left w:val="nil"/>
              <w:right w:val="nil"/>
            </w:tcBorders>
            <w:vAlign w:val="center"/>
          </w:tcPr>
          <w:p w14:paraId="5908E143">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CB89</w:t>
            </w:r>
          </w:p>
        </w:tc>
        <w:tc>
          <w:tcPr>
            <w:tcW w:w="2104" w:type="dxa"/>
            <w:tcBorders>
              <w:left w:val="nil"/>
              <w:right w:val="nil"/>
            </w:tcBorders>
            <w:vAlign w:val="center"/>
          </w:tcPr>
          <w:p w14:paraId="44B6B7A8">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100 ng/mL</w:t>
            </w:r>
          </w:p>
        </w:tc>
      </w:tr>
      <w:tr w14:paraId="67E07C89">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vAlign w:val="center"/>
          </w:tcPr>
          <w:p w14:paraId="000E2732">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R-spondin-1</w:t>
            </w:r>
          </w:p>
        </w:tc>
        <w:tc>
          <w:tcPr>
            <w:tcW w:w="1878" w:type="dxa"/>
            <w:tcBorders>
              <w:left w:val="nil"/>
              <w:right w:val="nil"/>
            </w:tcBorders>
            <w:vAlign w:val="center"/>
          </w:tcPr>
          <w:p w14:paraId="3A024E54">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Novoprotein</w:t>
            </w:r>
          </w:p>
        </w:tc>
        <w:tc>
          <w:tcPr>
            <w:tcW w:w="1688" w:type="dxa"/>
            <w:tcBorders>
              <w:left w:val="nil"/>
              <w:right w:val="nil"/>
            </w:tcBorders>
            <w:vAlign w:val="center"/>
          </w:tcPr>
          <w:p w14:paraId="0583C9F5">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CX83</w:t>
            </w:r>
          </w:p>
        </w:tc>
        <w:tc>
          <w:tcPr>
            <w:tcW w:w="2104" w:type="dxa"/>
            <w:tcBorders>
              <w:left w:val="nil"/>
              <w:right w:val="nil"/>
            </w:tcBorders>
            <w:vAlign w:val="center"/>
          </w:tcPr>
          <w:p w14:paraId="2BE76A29">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250 ng/mL</w:t>
            </w:r>
          </w:p>
        </w:tc>
      </w:tr>
      <w:tr w14:paraId="4C26905E">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vAlign w:val="center"/>
          </w:tcPr>
          <w:p w14:paraId="2A168536">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Heregulin β-1</w:t>
            </w:r>
          </w:p>
        </w:tc>
        <w:tc>
          <w:tcPr>
            <w:tcW w:w="1878" w:type="dxa"/>
            <w:tcBorders>
              <w:left w:val="nil"/>
              <w:right w:val="nil"/>
            </w:tcBorders>
            <w:vAlign w:val="center"/>
          </w:tcPr>
          <w:p w14:paraId="3D01429B">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Peprotech</w:t>
            </w:r>
          </w:p>
        </w:tc>
        <w:tc>
          <w:tcPr>
            <w:tcW w:w="1688" w:type="dxa"/>
            <w:tcBorders>
              <w:left w:val="nil"/>
              <w:right w:val="nil"/>
            </w:tcBorders>
            <w:vAlign w:val="center"/>
          </w:tcPr>
          <w:p w14:paraId="746513EA">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100-03-50</w:t>
            </w:r>
          </w:p>
        </w:tc>
        <w:tc>
          <w:tcPr>
            <w:tcW w:w="2104" w:type="dxa"/>
            <w:tcBorders>
              <w:left w:val="nil"/>
              <w:right w:val="nil"/>
            </w:tcBorders>
            <w:vAlign w:val="center"/>
          </w:tcPr>
          <w:p w14:paraId="64B9EF84">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5 nM</w:t>
            </w:r>
          </w:p>
        </w:tc>
      </w:tr>
      <w:tr w14:paraId="08FBC067">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vAlign w:val="center"/>
          </w:tcPr>
          <w:p w14:paraId="7E7D31D3">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Style w:val="18"/>
                <w:rFonts w:ascii="Times New Roman" w:hAnsi="Times New Roman" w:eastAsia="Helvetica" w:cs="Times New Roman"/>
                <w:bCs/>
                <w:color w:val="000000" w:themeColor="text1"/>
                <w:spacing w:val="4"/>
                <w:kern w:val="0"/>
                <w:sz w:val="24"/>
                <w14:textFill>
                  <w14:solidFill>
                    <w14:schemeClr w14:val="tx1"/>
                  </w14:solidFill>
                </w14:textFill>
              </w:rPr>
              <w:t>Other Additives</w:t>
            </w:r>
          </w:p>
        </w:tc>
        <w:tc>
          <w:tcPr>
            <w:tcW w:w="1878" w:type="dxa"/>
            <w:tcBorders>
              <w:left w:val="nil"/>
              <w:right w:val="nil"/>
            </w:tcBorders>
            <w:vAlign w:val="center"/>
          </w:tcPr>
          <w:p w14:paraId="23ED5707">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1688" w:type="dxa"/>
            <w:tcBorders>
              <w:left w:val="nil"/>
              <w:right w:val="nil"/>
            </w:tcBorders>
            <w:vAlign w:val="center"/>
          </w:tcPr>
          <w:p w14:paraId="63306642">
            <w:pPr>
              <w:spacing w:line="480" w:lineRule="auto"/>
              <w:jc w:val="left"/>
              <w:rPr>
                <w:rFonts w:ascii="Times New Roman" w:hAnsi="Times New Roman" w:cs="Times New Roman"/>
                <w:color w:val="000000" w:themeColor="text1"/>
                <w:kern w:val="0"/>
                <w:sz w:val="24"/>
                <w14:textFill>
                  <w14:solidFill>
                    <w14:schemeClr w14:val="tx1"/>
                  </w14:solidFill>
                </w14:textFill>
              </w:rPr>
            </w:pPr>
          </w:p>
        </w:tc>
        <w:tc>
          <w:tcPr>
            <w:tcW w:w="2104" w:type="dxa"/>
            <w:tcBorders>
              <w:left w:val="nil"/>
              <w:right w:val="nil"/>
            </w:tcBorders>
            <w:vAlign w:val="center"/>
          </w:tcPr>
          <w:p w14:paraId="52CFCD17">
            <w:pPr>
              <w:spacing w:line="480" w:lineRule="auto"/>
              <w:jc w:val="left"/>
              <w:rPr>
                <w:rFonts w:ascii="Times New Roman" w:hAnsi="Times New Roman" w:cs="Times New Roman"/>
                <w:color w:val="000000" w:themeColor="text1"/>
                <w:kern w:val="0"/>
                <w:sz w:val="24"/>
                <w14:textFill>
                  <w14:solidFill>
                    <w14:schemeClr w14:val="tx1"/>
                  </w14:solidFill>
                </w14:textFill>
              </w:rPr>
            </w:pPr>
          </w:p>
        </w:tc>
      </w:tr>
      <w:tr w14:paraId="33AD8248">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left w:val="nil"/>
              <w:right w:val="nil"/>
            </w:tcBorders>
            <w:vAlign w:val="center"/>
          </w:tcPr>
          <w:p w14:paraId="3D10E91D">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Nicotinamide</w:t>
            </w:r>
          </w:p>
        </w:tc>
        <w:tc>
          <w:tcPr>
            <w:tcW w:w="1878" w:type="dxa"/>
            <w:tcBorders>
              <w:left w:val="nil"/>
              <w:right w:val="nil"/>
            </w:tcBorders>
            <w:vAlign w:val="center"/>
          </w:tcPr>
          <w:p w14:paraId="4CCBD221">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Sigma</w:t>
            </w:r>
          </w:p>
        </w:tc>
        <w:tc>
          <w:tcPr>
            <w:tcW w:w="1688" w:type="dxa"/>
            <w:tcBorders>
              <w:left w:val="nil"/>
              <w:right w:val="nil"/>
            </w:tcBorders>
            <w:vAlign w:val="center"/>
          </w:tcPr>
          <w:p w14:paraId="4249189A">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N0636-100G</w:t>
            </w:r>
          </w:p>
        </w:tc>
        <w:tc>
          <w:tcPr>
            <w:tcW w:w="2104" w:type="dxa"/>
            <w:tcBorders>
              <w:left w:val="nil"/>
              <w:right w:val="nil"/>
            </w:tcBorders>
            <w:vAlign w:val="center"/>
          </w:tcPr>
          <w:p w14:paraId="094192E8">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5 mM</w:t>
            </w:r>
          </w:p>
        </w:tc>
      </w:tr>
      <w:tr w14:paraId="0EEF61F4">
        <w:tblPrEx>
          <w:tblBorders>
            <w:top w:val="none" w:color="auto" w:sz="0"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left w:val="nil"/>
              <w:bottom w:val="single" w:color="auto" w:sz="12" w:space="0"/>
              <w:right w:val="nil"/>
            </w:tcBorders>
            <w:vAlign w:val="center"/>
          </w:tcPr>
          <w:p w14:paraId="226BE03F">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N-Acetylcysteine</w:t>
            </w:r>
          </w:p>
        </w:tc>
        <w:tc>
          <w:tcPr>
            <w:tcW w:w="1878" w:type="dxa"/>
            <w:tcBorders>
              <w:top w:val="single" w:color="auto" w:sz="4" w:space="0"/>
              <w:left w:val="nil"/>
              <w:bottom w:val="single" w:color="auto" w:sz="12" w:space="0"/>
              <w:right w:val="nil"/>
            </w:tcBorders>
            <w:vAlign w:val="center"/>
          </w:tcPr>
          <w:p w14:paraId="1F868D6E">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Sigma</w:t>
            </w:r>
          </w:p>
        </w:tc>
        <w:tc>
          <w:tcPr>
            <w:tcW w:w="1688" w:type="dxa"/>
            <w:tcBorders>
              <w:top w:val="single" w:color="auto" w:sz="4" w:space="0"/>
              <w:left w:val="nil"/>
              <w:bottom w:val="single" w:color="auto" w:sz="12" w:space="0"/>
              <w:right w:val="nil"/>
            </w:tcBorders>
            <w:vAlign w:val="center"/>
          </w:tcPr>
          <w:p w14:paraId="07EC85D0">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A9165-5G</w:t>
            </w:r>
          </w:p>
        </w:tc>
        <w:tc>
          <w:tcPr>
            <w:tcW w:w="2104" w:type="dxa"/>
            <w:tcBorders>
              <w:top w:val="single" w:color="auto" w:sz="4" w:space="0"/>
              <w:left w:val="nil"/>
              <w:bottom w:val="single" w:color="auto" w:sz="12" w:space="0"/>
              <w:right w:val="nil"/>
            </w:tcBorders>
            <w:vAlign w:val="center"/>
          </w:tcPr>
          <w:p w14:paraId="17D62FAB">
            <w:pPr>
              <w:widowControl/>
              <w:spacing w:line="480" w:lineRule="auto"/>
              <w:jc w:val="left"/>
              <w:textAlignment w:val="center"/>
              <w:rPr>
                <w:rFonts w:ascii="Times New Roman" w:hAnsi="Times New Roman" w:cs="Times New Roman"/>
                <w:color w:val="000000" w:themeColor="text1"/>
                <w:kern w:val="0"/>
                <w:sz w:val="24"/>
                <w14:textFill>
                  <w14:solidFill>
                    <w14:schemeClr w14:val="tx1"/>
                  </w14:solidFill>
                </w14:textFill>
              </w:rPr>
            </w:pPr>
            <w:r>
              <w:rPr>
                <w:rFonts w:ascii="Times New Roman" w:hAnsi="Times New Roman" w:eastAsia="Helvetica" w:cs="Times New Roman"/>
                <w:color w:val="000000" w:themeColor="text1"/>
                <w:spacing w:val="4"/>
                <w:kern w:val="0"/>
                <w:sz w:val="24"/>
                <w14:textFill>
                  <w14:solidFill>
                    <w14:schemeClr w14:val="tx1"/>
                  </w14:solidFill>
                </w14:textFill>
              </w:rPr>
              <w:t>1.25 mM</w:t>
            </w:r>
          </w:p>
        </w:tc>
      </w:tr>
    </w:tbl>
    <w:p w14:paraId="108D9546">
      <w:pPr>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br w:type="page"/>
      </w:r>
    </w:p>
    <w:p w14:paraId="22A46AC9">
      <w:pPr>
        <w:keepNext/>
        <w:spacing w:line="48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Figures</w:t>
      </w:r>
    </w:p>
    <w:p w14:paraId="18A15805">
      <w:pPr>
        <w:keepNext/>
        <w:spacing w:line="480" w:lineRule="auto"/>
        <w:rPr>
          <w:rFonts w:ascii="Times New Roman" w:hAnsi="Times New Roman" w:cs="Times New Roman"/>
          <w:b/>
          <w:bCs/>
          <w:color w:val="000000" w:themeColor="text1"/>
          <w:sz w:val="24"/>
          <w14:textFill>
            <w14:solidFill>
              <w14:schemeClr w14:val="tx1"/>
            </w14:solidFill>
          </w14:textFill>
        </w:rPr>
      </w:pPr>
    </w:p>
    <w:p w14:paraId="00BA77BC">
      <w:pPr>
        <w:spacing w:line="480"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drawing>
          <wp:inline distT="0" distB="0" distL="0" distR="0">
            <wp:extent cx="5268595" cy="6269355"/>
            <wp:effectExtent l="0" t="0" r="8255" b="17145"/>
            <wp:docPr id="1" name="图片 2" descr="SupFig2-1"/>
            <wp:cNvGraphicFramePr/>
            <a:graphic xmlns:a="http://schemas.openxmlformats.org/drawingml/2006/main">
              <a:graphicData uri="http://schemas.openxmlformats.org/drawingml/2006/picture">
                <pic:pic xmlns:pic="http://schemas.openxmlformats.org/drawingml/2006/picture">
                  <pic:nvPicPr>
                    <pic:cNvPr id="1" name="图片 2" descr="SupFig2-1"/>
                    <pic:cNvPicPr/>
                  </pic:nvPicPr>
                  <pic:blipFill>
                    <a:blip r:embed="rId4" cstate="hqprint"/>
                    <a:srcRect/>
                    <a:stretch>
                      <a:fillRect/>
                    </a:stretch>
                  </pic:blipFill>
                  <pic:spPr>
                    <a:xfrm>
                      <a:off x="0" y="0"/>
                      <a:ext cx="5268595" cy="6269355"/>
                    </a:xfrm>
                    <a:prstGeom prst="rect">
                      <a:avLst/>
                    </a:prstGeom>
                  </pic:spPr>
                </pic:pic>
              </a:graphicData>
            </a:graphic>
          </wp:inline>
        </w:drawing>
      </w:r>
    </w:p>
    <w:p w14:paraId="0C901874">
      <w:pPr>
        <w:spacing w:line="48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 xml:space="preserve">Supplementary </w:t>
      </w:r>
      <w:bookmarkStart w:id="0" w:name="OLE_LINK1"/>
      <w:bookmarkStart w:id="1" w:name="OLE_LINK4"/>
      <w:r>
        <w:rPr>
          <w:rFonts w:ascii="Times New Roman" w:hAnsi="Times New Roman" w:cs="Times New Roman"/>
          <w:color w:val="000000" w:themeColor="text1"/>
          <w:sz w:val="24"/>
          <w14:textFill>
            <w14:solidFill>
              <w14:schemeClr w14:val="tx1"/>
            </w14:solidFill>
          </w14:textFill>
        </w:rPr>
        <w:t>Figure</w:t>
      </w:r>
      <w:bookmarkEnd w:id="0"/>
      <w:bookmarkEnd w:id="1"/>
      <w:r>
        <w:rPr>
          <w:rFonts w:ascii="Times New Roman" w:hAnsi="Times New Roman" w:cs="Times New Roman"/>
          <w:color w:val="000000" w:themeColor="text1"/>
          <w:sz w:val="24"/>
          <w14:textFill>
            <w14:solidFill>
              <w14:schemeClr w14:val="tx1"/>
            </w14:solidFill>
          </w14:textFill>
        </w:rPr>
        <w:t xml:space="preserve"> 1. Gating strategy for flow cytometric analysis of TIL subsets.</w:t>
      </w:r>
    </w:p>
    <w:p w14:paraId="0F06D39D">
      <w:pPr>
        <w:spacing w:line="48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(A) Gating strategy for CD4⁺ T cells. Lymphocytes were first identified based on FSC-A vs. SSC-A gating. Single cells were selected using FSC-H vs. FSC-A to exclude doublets. CD4⁺ T cells were gated within the CD3⁺ population, followed by analysis of CD137 expression as a marker of activation.</w:t>
      </w:r>
    </w:p>
    <w:p w14:paraId="13F0F93B">
      <w:pPr>
        <w:spacing w:line="48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(B) Gating strategy for CD8⁺ T cells. Similar to (A), lymphocytes were gated based on FSC-A vs. SSC-A, followed by single-cell selection. CD8⁺ T cells were identified within the CD3⁺ population, and CD137 expression was assessed.</w:t>
      </w:r>
    </w:p>
    <w:p w14:paraId="1E95F755">
      <w:pPr>
        <w:spacing w:line="48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(C) Gating strategy for γδ T cells. Lymphocytes were gated based on FSC-A vs. SSC-A, followed by single-cell selection. γδ T cells were identified within the CD3⁺ population, and CD137 expression was measured.</w:t>
      </w:r>
    </w:p>
    <w:p w14:paraId="7A3E3E1F">
      <w:pPr>
        <w:spacing w:line="48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(D) Gating strategy for Vγ9Vδ2 T cells. Lymphocytes were first gated as in (A-C), followed by single-cell selection. CD3⁺ γδ T cells were further analyzed based on Vγ9Vδ2 expression to distinguish this subset.</w:t>
      </w:r>
    </w:p>
    <w:p w14:paraId="40E22356">
      <w:pPr>
        <w:widowControl/>
        <w:jc w:val="left"/>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br w:type="page"/>
      </w:r>
    </w:p>
    <w:p w14:paraId="3E72640C">
      <w:pPr>
        <w:keepNext/>
        <w:spacing w:line="480" w:lineRule="auto"/>
        <w:ind w:firstLine="120" w:firstLineChars="50"/>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drawing>
          <wp:inline distT="0" distB="0" distL="0" distR="0">
            <wp:extent cx="5258435" cy="2571115"/>
            <wp:effectExtent l="0" t="0" r="18415" b="635"/>
            <wp:docPr id="1033" name="图片 1" descr="C:/Users/Administrator/Desktop/金信/work/投稿/苏博士/Fig/SupFig1/sup Fig1第三版.tifsup Fig1第三版"/>
            <wp:cNvGraphicFramePr/>
            <a:graphic xmlns:a="http://schemas.openxmlformats.org/drawingml/2006/main">
              <a:graphicData uri="http://schemas.openxmlformats.org/drawingml/2006/picture">
                <pic:pic xmlns:pic="http://schemas.openxmlformats.org/drawingml/2006/picture">
                  <pic:nvPicPr>
                    <pic:cNvPr id="1033" name="图片 1" descr="C:/Users/Administrator/Desktop/金信/work/投稿/苏博士/Fig/SupFig1/sup Fig1第三版.tifsup Fig1第三版"/>
                    <pic:cNvPicPr/>
                  </pic:nvPicPr>
                  <pic:blipFill>
                    <a:blip r:embed="rId5" cstate="hqprint"/>
                    <a:srcRect/>
                    <a:stretch>
                      <a:fillRect/>
                    </a:stretch>
                  </pic:blipFill>
                  <pic:spPr>
                    <a:xfrm>
                      <a:off x="0" y="0"/>
                      <a:ext cx="5258435" cy="2571115"/>
                    </a:xfrm>
                    <a:prstGeom prst="rect">
                      <a:avLst/>
                    </a:prstGeom>
                  </pic:spPr>
                </pic:pic>
              </a:graphicData>
            </a:graphic>
          </wp:inline>
        </w:drawing>
      </w:r>
    </w:p>
    <w:p w14:paraId="4574F6FA">
      <w:pPr>
        <w:keepNext/>
        <w:spacing w:line="48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Supplementary Figure 2. Growth of breast cancer organoids and expansion of TILs of breast cancer.</w:t>
      </w:r>
    </w:p>
    <w:p w14:paraId="3333ADC3">
      <w:pPr>
        <w:pStyle w:val="33"/>
        <w:keepNext/>
        <w:numPr>
          <w:ilvl w:val="0"/>
          <w:numId w:val="1"/>
        </w:numPr>
        <w:spacing w:line="480" w:lineRule="auto"/>
        <w:ind w:left="0" w:firstLine="0"/>
        <w:contextualSpacing w:val="0"/>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 xml:space="preserve">Bright-field images of normal breast organoids. the upper panel, the normal organoids from BC10 </w:t>
      </w:r>
      <w:bookmarkStart w:id="2" w:name="OLE_LINK17"/>
      <w:bookmarkStart w:id="3" w:name="OLE_LINK24"/>
      <w:r>
        <w:rPr>
          <w:rFonts w:ascii="Times New Roman" w:hAnsi="Times New Roman" w:cs="Times New Roman"/>
          <w:color w:val="000000" w:themeColor="text1"/>
          <w:sz w:val="24"/>
          <w14:textFill>
            <w14:solidFill>
              <w14:schemeClr w14:val="tx1"/>
            </w14:solidFill>
          </w14:textFill>
        </w:rPr>
        <w:t>during 9 da</w:t>
      </w:r>
      <w:bookmarkStart w:id="4" w:name="OLE_LINK16"/>
      <w:bookmarkStart w:id="5" w:name="OLE_LINK15"/>
      <w:r>
        <w:rPr>
          <w:rFonts w:ascii="Times New Roman" w:hAnsi="Times New Roman" w:cs="Times New Roman"/>
          <w:color w:val="000000" w:themeColor="text1"/>
          <w:sz w:val="24"/>
          <w14:textFill>
            <w14:solidFill>
              <w14:schemeClr w14:val="tx1"/>
            </w14:solidFill>
          </w14:textFill>
        </w:rPr>
        <w:t>y culture</w:t>
      </w:r>
      <w:bookmarkEnd w:id="2"/>
      <w:bookmarkEnd w:id="3"/>
      <w:r>
        <w:rPr>
          <w:rFonts w:ascii="Times New Roman" w:hAnsi="Times New Roman" w:cs="Times New Roman"/>
          <w:color w:val="000000" w:themeColor="text1"/>
          <w:sz w:val="24"/>
          <w14:textFill>
            <w14:solidFill>
              <w14:schemeClr w14:val="tx1"/>
            </w14:solidFill>
          </w14:textFill>
        </w:rPr>
        <w:t>, in which the obtained normal epithelial cells are rel</w:t>
      </w:r>
      <w:bookmarkEnd w:id="4"/>
      <w:bookmarkEnd w:id="5"/>
      <w:r>
        <w:rPr>
          <w:rFonts w:ascii="Times New Roman" w:hAnsi="Times New Roman" w:cs="Times New Roman"/>
          <w:color w:val="000000" w:themeColor="text1"/>
          <w:sz w:val="24"/>
          <w14:textFill>
            <w14:solidFill>
              <w14:schemeClr w14:val="tx1"/>
            </w14:solidFill>
          </w14:textFill>
        </w:rPr>
        <w:t xml:space="preserve">atively few; the pictures show the processing of organoid formation from cluster cells, slow growth as well as </w:t>
      </w:r>
      <w:r>
        <w:rPr>
          <w:rFonts w:ascii="Times New Roman" w:hAnsi="Times New Roman" w:cs="Times New Roman"/>
          <w:color w:val="000000" w:themeColor="text1"/>
          <w:sz w:val="24"/>
          <w:shd w:val="clear" w:color="auto" w:fill="FFFFFF"/>
          <w14:textFill>
            <w14:solidFill>
              <w14:schemeClr w14:val="tx1"/>
            </w14:solidFill>
          </w14:textFill>
        </w:rPr>
        <w:t>budding</w:t>
      </w:r>
      <w:r>
        <w:rPr>
          <w:rFonts w:ascii="Times New Roman" w:hAnsi="Times New Roman" w:cs="Times New Roman"/>
          <w:color w:val="000000" w:themeColor="text1"/>
          <w:sz w:val="24"/>
          <w14:textFill>
            <w14:solidFill>
              <w14:schemeClr w14:val="tx1"/>
            </w14:solidFill>
          </w14:textFill>
        </w:rPr>
        <w:t>; the the down panel, the normal organoids from BC11 from D5-D16 culture, in which the obtained normal epithelial cells are relatively many .Scale bars: 200 μm (4X), 50 μm (20X).</w:t>
      </w:r>
    </w:p>
    <w:p w14:paraId="609DDC9E">
      <w:pPr>
        <w:keepNext/>
        <w:spacing w:line="48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(B) TIL culture from the appropriate 1mm</w:t>
      </w:r>
      <w:r>
        <w:rPr>
          <w:rFonts w:ascii="Times New Roman" w:hAnsi="Times New Roman" w:cs="Times New Roman"/>
          <w:color w:val="000000" w:themeColor="text1"/>
          <w:sz w:val="24"/>
          <w:vertAlign w:val="superscript"/>
          <w14:textFill>
            <w14:solidFill>
              <w14:schemeClr w14:val="tx1"/>
            </w14:solidFill>
          </w14:textFill>
        </w:rPr>
        <w:t>3</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shd w:val="clear" w:color="auto" w:fill="FFFFFF"/>
          <w14:textFill>
            <w14:solidFill>
              <w14:schemeClr w14:val="tx1"/>
            </w14:solidFill>
          </w14:textFill>
        </w:rPr>
        <w:t>dissected</w:t>
      </w:r>
      <w:r>
        <w:rPr>
          <w:rFonts w:ascii="Times New Roman" w:hAnsi="Times New Roman" w:cs="Times New Roman"/>
          <w:color w:val="000000" w:themeColor="text1"/>
          <w:sz w:val="24"/>
          <w14:textFill>
            <w14:solidFill>
              <w14:schemeClr w14:val="tx1"/>
            </w14:solidFill>
          </w14:textFill>
        </w:rPr>
        <w:t xml:space="preserve"> tumor tissue </w:t>
      </w:r>
      <w:bookmarkStart w:id="6" w:name="OLE_LINK14"/>
      <w:r>
        <w:rPr>
          <w:rFonts w:ascii="Times New Roman" w:hAnsi="Times New Roman" w:cs="Times New Roman"/>
          <w:color w:val="000000" w:themeColor="text1"/>
          <w:sz w:val="24"/>
          <w14:textFill>
            <w14:solidFill>
              <w14:schemeClr w14:val="tx1"/>
            </w14:solidFill>
          </w14:textFill>
        </w:rPr>
        <w:t>fragment</w:t>
      </w:r>
      <w:bookmarkEnd w:id="6"/>
      <w:r>
        <w:rPr>
          <w:rFonts w:ascii="Times New Roman" w:hAnsi="Times New Roman" w:cs="Times New Roman"/>
          <w:color w:val="000000" w:themeColor="text1"/>
          <w:sz w:val="24"/>
          <w14:textFill>
            <w14:solidFill>
              <w14:schemeClr w14:val="tx1"/>
            </w14:solidFill>
          </w14:textFill>
        </w:rPr>
        <w:t>s at Day 5, Day 10, Day 15, and Day 19. TILs move out from tumor tissue fragments, progressively expand in culture, and aggregates from scattered single cells to larger clusters. Scale bars: 200 μm (Day 5, Day 19), 50 μm (Day 10).</w:t>
      </w:r>
    </w:p>
    <w:p w14:paraId="43EACF15">
      <w:pPr>
        <w:rPr>
          <w:rFonts w:hint="eastAsia"/>
        </w:rPr>
      </w:pPr>
    </w:p>
    <w:sectPr>
      <w:pgSz w:w="11906" w:h="16838"/>
      <w:pgMar w:top="1440" w:right="1800" w:bottom="1440" w:left="1800" w:header="851" w:footer="992" w:gutter="0"/>
      <w:lnNumType w:countBy="1" w:restart="continuou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0" w:usb3="00000000" w:csb0="00000093"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upperLetter"/>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0AE"/>
    <w:rsid w:val="000310A0"/>
    <w:rsid w:val="00117418"/>
    <w:rsid w:val="001670AE"/>
    <w:rsid w:val="00173A26"/>
    <w:rsid w:val="004A34E8"/>
    <w:rsid w:val="00566C6D"/>
    <w:rsid w:val="00940E2E"/>
    <w:rsid w:val="009738A2"/>
    <w:rsid w:val="00AC65DB"/>
    <w:rsid w:val="00B95D1F"/>
    <w:rsid w:val="00D25037"/>
    <w:rsid w:val="31DB56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14:ligatures w14:val="none"/>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0"/>
    <w:pPr>
      <w:widowControl w:val="0"/>
      <w:jc w:val="both"/>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line number"/>
    <w:basedOn w:val="17"/>
    <w:semiHidden/>
    <w:unhideWhenUsed/>
    <w:uiPriority w:val="99"/>
  </w:style>
  <w:style w:type="character" w:customStyle="1" w:styleId="20">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7"/>
    <w:link w:val="5"/>
    <w:semiHidden/>
    <w:qFormat/>
    <w:uiPriority w:val="9"/>
    <w:rPr>
      <w:rFonts w:cstheme="majorBidi"/>
      <w:color w:val="104862" w:themeColor="accent1" w:themeShade="BF"/>
      <w:sz w:val="28"/>
      <w:szCs w:val="28"/>
    </w:rPr>
  </w:style>
  <w:style w:type="character" w:customStyle="1" w:styleId="24">
    <w:name w:val="标题 5 字符"/>
    <w:basedOn w:val="17"/>
    <w:link w:val="6"/>
    <w:semiHidden/>
    <w:uiPriority w:val="9"/>
    <w:rPr>
      <w:rFonts w:cstheme="majorBidi"/>
      <w:color w:val="104862" w:themeColor="accent1" w:themeShade="BF"/>
      <w:sz w:val="24"/>
      <w:szCs w:val="24"/>
    </w:rPr>
  </w:style>
  <w:style w:type="character" w:customStyle="1" w:styleId="25">
    <w:name w:val="标题 6 字符"/>
    <w:basedOn w:val="17"/>
    <w:link w:val="7"/>
    <w:semiHidden/>
    <w:qFormat/>
    <w:uiPriority w:val="9"/>
    <w:rPr>
      <w:rFonts w:cstheme="majorBidi"/>
      <w:b/>
      <w:bCs/>
      <w:color w:val="104862" w:themeColor="accent1" w:themeShade="BF"/>
    </w:rPr>
  </w:style>
  <w:style w:type="character" w:customStyle="1" w:styleId="26">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99"/>
    <w:pPr>
      <w:ind w:left="720"/>
      <w:contextualSpacing/>
    </w:pPr>
  </w:style>
  <w:style w:type="character" w:customStyle="1" w:styleId="34">
    <w:name w:val="Intense Emphasis"/>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7"/>
    <w:link w:val="35"/>
    <w:qFormat/>
    <w:uiPriority w:val="30"/>
    <w:rPr>
      <w:i/>
      <w:iCs/>
      <w:color w:val="104862" w:themeColor="accent1" w:themeShade="BF"/>
    </w:rPr>
  </w:style>
  <w:style w:type="character" w:customStyle="1" w:styleId="37">
    <w:name w:val="Intense Reference"/>
    <w:basedOn w:val="17"/>
    <w:qFormat/>
    <w:uiPriority w:val="32"/>
    <w:rPr>
      <w:b/>
      <w:bCs/>
      <w:smallCaps/>
      <w:color w:val="104862" w:themeColor="accent1" w:themeShade="BF"/>
      <w:spacing w:val="5"/>
    </w:rPr>
  </w:style>
  <w:style w:type="character" w:customStyle="1" w:styleId="38">
    <w:name w:val="页眉 字符"/>
    <w:basedOn w:val="17"/>
    <w:link w:val="12"/>
    <w:uiPriority w:val="99"/>
    <w:rPr>
      <w:sz w:val="18"/>
      <w:szCs w:val="18"/>
    </w:rPr>
  </w:style>
  <w:style w:type="character" w:customStyle="1" w:styleId="39">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tif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421</Words>
  <Characters>2327</Characters>
  <Lines>44</Lines>
  <Paragraphs>14</Paragraphs>
  <TotalTime>0</TotalTime>
  <ScaleCrop>false</ScaleCrop>
  <LinksUpToDate>false</LinksUpToDate>
  <CharactersWithSpaces>2659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2025-06-23T19:11:00Z</dcterms:created>
  <dc:creator>展旺 黄</dc:creator>
  <cp:lastModifiedBy>彼岸</cp:lastModifiedBy>
  <dcterms:modified xsi:type="dcterms:W3CDTF">2025-12-28T16:22:25Z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eyJoZGlkIjoiMTI2MDYzYjBlZjk4N2ExNWNmNzI5MTAyZjQxYWQxZGIiLCJ1c2VySWQiOiIyNDM2MjgzNDQifQ==</vt:lpwstr>
  </property>
  <property fmtid="{D5CDD505-2E9C-101B-9397-08002B2CF9AE}" pid="3" name="KSOProductBuildVer">
    <vt:lpwstr>2052-12.1.0.24034</vt:lpwstr>
  </property>
  <property fmtid="{D5CDD505-2E9C-101B-9397-08002B2CF9AE}" pid="4" name="ICV">
    <vt:lpwstr>8369EC19AB89473FAE6F5E8483A0EC5B_12</vt:lpwstr>
  </property>
</Properties>
</file>