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</w:r>
      <w:r>
        <w:t>КРИТИЧЕСКОЕ ИНВЕСТИЦИОННО‑ТЕХНИЧЕСКОЕ ЗАКЛЮЧЕНИЕ (Due Diligence)</w:t>
      </w:r>
    </w:p>
    <w:p>
      <w:r>
        <w:t>Солнечная электростанция 50 МВт, Астраханская область</w:t>
      </w:r>
      <w:r>
        <w:rPr>
          <w:b/>
        </w:rPr>
      </w:r>
      <w:r/>
    </w:p>
    <w:p>
      <w:r/>
      <w:r>
        <w:rPr>
          <w:i/>
        </w:rPr>
        <w:t>Все расчёты выполнены в российских рублях (₽). При отсутствии конкретных цифр в ТЭО они оценены на основе отраслевых аналогов (CAPEX ≈ 1 500 000 ₽/кВт, OPEX ≈ 30 000 ₽/кВт·год) и указаны как «Оценка на основе отраслевых данных». Диапазоны приведены в виде минимум‑максимум.</w:t>
      </w:r>
      <w:r/>
    </w:p>
    <w:p>
      <w:r>
        <w:t>---</w:t>
      </w:r>
    </w:p>
    <w:p>
      <w:pPr>
        <w:pStyle w:val="Heading2"/>
      </w:pPr>
      <w:r>
        <w:t>1. Резюме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Мощность</w:t>
            </w:r>
          </w:p>
        </w:tc>
        <w:tc>
          <w:tcPr>
            <w:tcW w:type="dxa" w:w="2880"/>
          </w:tcPr>
          <w:p>
            <w:r>
              <w:t>50 МВт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Площадка</w:t>
            </w:r>
          </w:p>
        </w:tc>
        <w:tc>
          <w:tcPr>
            <w:tcW w:type="dxa" w:w="2880"/>
          </w:tcPr>
          <w:p>
            <w:r>
              <w:t>100 га, Астраханская область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 реализации</w:t>
            </w:r>
          </w:p>
        </w:tc>
        <w:tc>
          <w:tcPr>
            <w:tcW w:type="dxa" w:w="2880"/>
          </w:tcPr>
          <w:p>
            <w:r>
              <w:t>2026‑2027 гг.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Общий бюджет (CAPEX + OPEX за 1 год) – **по ТЭО**</w:t>
            </w:r>
          </w:p>
        </w:tc>
        <w:tc>
          <w:tcPr>
            <w:tcW w:type="dxa" w:w="2880"/>
          </w:tcPr>
          <w:p>
            <w:r>
              <w:t>**4 500 000 000 ₽**</w:t>
            </w:r>
          </w:p>
        </w:tc>
        <w:tc>
          <w:tcPr>
            <w:tcW w:type="dxa" w:w="2880"/>
          </w:tcPr>
          <w:p>
            <w:r>
              <w:t>указано в ТЭО, но без детализации</w:t>
            </w:r>
          </w:p>
        </w:tc>
      </w:tr>
      <w:tr>
        <w:tc>
          <w:tcPr>
            <w:tcW w:type="dxa" w:w="2880"/>
          </w:tcPr>
          <w:p>
            <w:r>
              <w:t>**Корректированная оценка CAPEX**</w:t>
            </w:r>
          </w:p>
        </w:tc>
        <w:tc>
          <w:tcPr>
            <w:tcW w:type="dxa" w:w="2880"/>
          </w:tcPr>
          <w:p>
            <w:r>
              <w:t>**7 500 000 000 ₽** (5 500 – 9 500 млн ₽)</w:t>
            </w:r>
          </w:p>
        </w:tc>
        <w:tc>
          <w:tcPr>
            <w:tcW w:type="dxa" w:w="2880"/>
          </w:tcPr>
          <w:p>
            <w:r>
              <w:t>оценка на основе отраслевых данных, учитывающая недостающие элементы (блокировки, защита, SCADA, молниезащита, пожарная система, утилизация, ОТ)</w:t>
            </w:r>
          </w:p>
        </w:tc>
      </w:tr>
      <w:tr>
        <w:tc>
          <w:tcPr>
            <w:tcW w:type="dxa" w:w="2880"/>
          </w:tcPr>
          <w:p>
            <w:r>
              <w:t>**Корректированная оценка OPEX (годовая)**</w:t>
            </w:r>
          </w:p>
        </w:tc>
        <w:tc>
          <w:tcPr>
            <w:tcW w:type="dxa" w:w="2880"/>
          </w:tcPr>
          <w:p>
            <w:r>
              <w:t>**1 500 000 000 ₽** (1 200 – 1 800 млн ₽)</w:t>
            </w:r>
          </w:p>
        </w:tc>
        <w:tc>
          <w:tcPr>
            <w:tcW w:type="dxa" w:w="2880"/>
          </w:tcPr>
          <w:p>
            <w:r>
              <w:t>включает эксплуатацию, обслуживание, страховку, утилизацию, штрафы за несоответствия</w:t>
            </w:r>
          </w:p>
        </w:tc>
      </w:tr>
      <w:tr>
        <w:tc>
          <w:tcPr>
            <w:tcW w:type="dxa" w:w="2880"/>
          </w:tcPr>
          <w:p>
            <w:r>
              <w:t>**Физически реалистичный КИУМ**</w:t>
            </w:r>
          </w:p>
        </w:tc>
        <w:tc>
          <w:tcPr>
            <w:tcW w:type="dxa" w:w="2880"/>
          </w:tcPr>
          <w:p>
            <w:r>
              <w:t>**0,25  (25 %)**</w:t>
            </w:r>
          </w:p>
        </w:tc>
        <w:tc>
          <w:tcPr>
            <w:tcW w:type="dxa" w:w="2880"/>
          </w:tcPr>
          <w:p>
            <w:r>
              <w:t>предел для СЭС ≈ 25 % (см. расчёт)</w:t>
            </w:r>
          </w:p>
        </w:tc>
      </w:tr>
      <w:tr>
        <w:tc>
          <w:tcPr>
            <w:tcW w:type="dxa" w:w="2880"/>
          </w:tcPr>
          <w:p>
            <w:r>
              <w:t>**Ожидаемая годовая выработка (коррект.)**</w:t>
            </w:r>
          </w:p>
        </w:tc>
        <w:tc>
          <w:tcPr>
            <w:tcW w:type="dxa" w:w="2880"/>
          </w:tcPr>
          <w:p>
            <w:r>
              <w:t>**109 500 МВт·ч**</w:t>
            </w:r>
          </w:p>
        </w:tc>
        <w:tc>
          <w:tcPr>
            <w:tcW w:type="dxa" w:w="2880"/>
          </w:tcPr>
          <w:p>
            <w:r>
              <w:t>50 МВт × 8760 ч × 0,25</w:t>
            </w:r>
          </w:p>
        </w:tc>
      </w:tr>
      <w:tr>
        <w:tc>
          <w:tcPr>
            <w:tcW w:type="dxa" w:w="2880"/>
          </w:tcPr>
          <w:p>
            <w:r>
              <w:t>**Средняя цена электроэнергии (принятая в расчётах)**</w:t>
            </w:r>
          </w:p>
        </w:tc>
        <w:tc>
          <w:tcPr>
            <w:tcW w:type="dxa" w:w="2880"/>
          </w:tcPr>
          <w:p>
            <w:r>
              <w:t>**3,50 ₽/кВт·ч**</w:t>
            </w:r>
          </w:p>
        </w:tc>
        <w:tc>
          <w:tcPr>
            <w:tcW w:type="dxa" w:w="2880"/>
          </w:tcPr>
          <w:p>
            <w:r>
              <w:t>средний тариф «внутренний рынок» 2025‑2027 гг.</w:t>
            </w:r>
          </w:p>
        </w:tc>
      </w:tr>
      <w:tr>
        <w:tc>
          <w:tcPr>
            <w:tcW w:type="dxa" w:w="2880"/>
          </w:tcPr>
          <w:p>
            <w:r>
              <w:t>**Годовой доход от продажи электроэнергии**</w:t>
            </w:r>
          </w:p>
        </w:tc>
        <w:tc>
          <w:tcPr>
            <w:tcW w:type="dxa" w:w="2880"/>
          </w:tcPr>
          <w:p>
            <w:r>
              <w:t>**383 250 000 ₽**</w:t>
            </w:r>
          </w:p>
        </w:tc>
        <w:tc>
          <w:tcPr>
            <w:tcW w:type="dxa" w:w="2880"/>
          </w:tcPr>
          <w:p>
            <w:r>
              <w:t>109 500 МВт·ч × 3,50 ₽/кВт·ч</w:t>
            </w:r>
          </w:p>
        </w:tc>
      </w:tr>
      <w:tr>
        <w:tc>
          <w:tcPr>
            <w:tcW w:type="dxa" w:w="2880"/>
          </w:tcPr>
          <w:p>
            <w:r>
              <w:t>**Ставка дисконтирования**</w:t>
            </w:r>
          </w:p>
        </w:tc>
        <w:tc>
          <w:tcPr>
            <w:tcW w:type="dxa" w:w="2880"/>
          </w:tcPr>
          <w:p>
            <w:r>
              <w:t>**10 %**</w:t>
            </w:r>
          </w:p>
        </w:tc>
        <w:tc>
          <w:tcPr>
            <w:tcW w:type="dxa" w:w="2880"/>
          </w:tcPr>
          <w:p>
            <w:r>
              <w:t>типичная для энергетических проектов в РФ</w:t>
            </w:r>
          </w:p>
        </w:tc>
      </w:tr>
      <w:tr>
        <w:tc>
          <w:tcPr>
            <w:tcW w:type="dxa" w:w="2880"/>
          </w:tcPr>
          <w:p>
            <w:r>
              <w:t>**Срок экономической жизни**</w:t>
            </w:r>
          </w:p>
        </w:tc>
        <w:tc>
          <w:tcPr>
            <w:tcW w:type="dxa" w:w="2880"/>
          </w:tcPr>
          <w:p>
            <w:r>
              <w:t>**20 лет**</w:t>
            </w:r>
          </w:p>
        </w:tc>
        <w:tc>
          <w:tcPr>
            <w:tcW w:type="dxa" w:w="2880"/>
          </w:tcPr>
          <w:p>
            <w:r>
              <w:t>стандартный срок эксплуатации СЭС</w:t>
            </w:r>
          </w:p>
        </w:tc>
      </w:tr>
    </w:tbl>
    <w:p/>
    <w:p>
      <w:r>
        <w:t>---</w:t>
      </w:r>
    </w:p>
    <w:p>
      <w:pPr>
        <w:pStyle w:val="Heading2"/>
      </w:pPr>
      <w:r>
        <w:t>2. Оценка базовых затрат (CAPEX / 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Оценка (₽)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Диапазон (мин‑макс)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**CAPEX (инвестиционные)**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Земля (аренда/выкуп)</w:t>
            </w:r>
          </w:p>
        </w:tc>
        <w:tc>
          <w:tcPr>
            <w:tcW w:type="dxa" w:w="2160"/>
          </w:tcPr>
          <w:p>
            <w:r>
              <w:t>150 000 000</w:t>
            </w:r>
          </w:p>
        </w:tc>
        <w:tc>
          <w:tcPr>
            <w:tcW w:type="dxa" w:w="2160"/>
          </w:tcPr>
          <w:p>
            <w:r>
              <w:t>100 – 200 млн</w:t>
            </w:r>
          </w:p>
        </w:tc>
        <w:tc>
          <w:tcPr>
            <w:tcW w:type="dxa" w:w="2160"/>
          </w:tcPr>
          <w:p>
            <w:r>
              <w:t>100 га, рыночная цена 1‑2 млн ₽/га</w:t>
            </w:r>
          </w:p>
        </w:tc>
      </w:tr>
      <w:tr>
        <w:tc>
          <w:tcPr>
            <w:tcW w:type="dxa" w:w="2160"/>
          </w:tcPr>
          <w:p>
            <w:r>
              <w:t>Подготовка площадки (земляные работы, дороги)</w:t>
            </w:r>
          </w:p>
        </w:tc>
        <w:tc>
          <w:tcPr>
            <w:tcW w:type="dxa" w:w="2160"/>
          </w:tcPr>
          <w:p>
            <w:r>
              <w:t>300 000 000</w:t>
            </w:r>
          </w:p>
        </w:tc>
        <w:tc>
          <w:tcPr>
            <w:tcW w:type="dxa" w:w="2160"/>
          </w:tcPr>
          <w:p>
            <w:r>
              <w:t>250 – 350 млн</w:t>
            </w:r>
          </w:p>
        </w:tc>
        <w:tc>
          <w:tcPr>
            <w:tcW w:type="dxa" w:w="2160"/>
          </w:tcPr>
          <w:p>
            <w:r>
              <w:t>6 млн ₽/га</w:t>
            </w:r>
          </w:p>
        </w:tc>
      </w:tr>
      <w:tr>
        <w:tc>
          <w:tcPr>
            <w:tcW w:type="dxa" w:w="2160"/>
          </w:tcPr>
          <w:p>
            <w:r>
              <w:t>Фотовольтажные модули (145 000 шт., 180 ₽/Вт)</w:t>
            </w:r>
          </w:p>
        </w:tc>
        <w:tc>
          <w:tcPr>
            <w:tcW w:type="dxa" w:w="2160"/>
          </w:tcPr>
          <w:p>
            <w:r>
              <w:t>1 305 000 000</w:t>
            </w:r>
          </w:p>
        </w:tc>
        <w:tc>
          <w:tcPr>
            <w:tcW w:type="dxa" w:w="2160"/>
          </w:tcPr>
          <w:p>
            <w:r>
              <w:t>1 200 – 1 400 млн</w:t>
            </w:r>
          </w:p>
        </w:tc>
        <w:tc>
          <w:tcPr>
            <w:tcW w:type="dxa" w:w="2160"/>
          </w:tcPr>
          <w:p>
            <w:r>
              <w:t>50 МВт × 1 800 ₽/кВт</w:t>
            </w:r>
          </w:p>
        </w:tc>
      </w:tr>
      <w:tr>
        <w:tc>
          <w:tcPr>
            <w:tcW w:type="dxa" w:w="2160"/>
          </w:tcPr>
          <w:p>
            <w:r>
              <w:t>Инверторы (строковые, 40 шт., 12 млн ₽/шт.)</w:t>
            </w:r>
          </w:p>
        </w:tc>
        <w:tc>
          <w:tcPr>
            <w:tcW w:type="dxa" w:w="2160"/>
          </w:tcPr>
          <w:p>
            <w:r>
              <w:t>480 000 000</w:t>
            </w:r>
          </w:p>
        </w:tc>
        <w:tc>
          <w:tcPr>
            <w:tcW w:type="dxa" w:w="2160"/>
          </w:tcPr>
          <w:p>
            <w:r>
              <w:t>440 – 520 млн</w:t>
            </w:r>
          </w:p>
        </w:tc>
        <w:tc>
          <w:tcPr>
            <w:tcW w:type="dxa" w:w="2160"/>
          </w:tcPr>
          <w:p>
            <w:r>
              <w:t>12 млн ₽/шт.</w:t>
            </w:r>
          </w:p>
        </w:tc>
      </w:tr>
      <w:tr>
        <w:tc>
          <w:tcPr>
            <w:tcW w:type="dxa" w:w="2160"/>
          </w:tcPr>
          <w:p>
            <w:r>
              <w:t>Трансформаторные подстанции 0,4/35 кВ (5 шт., 200 млн ₽/шт.)</w:t>
            </w:r>
          </w:p>
        </w:tc>
        <w:tc>
          <w:tcPr>
            <w:tcW w:type="dxa" w:w="2160"/>
          </w:tcPr>
          <w:p>
            <w:r>
              <w:t>1 000 000 000</w:t>
            </w:r>
          </w:p>
        </w:tc>
        <w:tc>
          <w:tcPr>
            <w:tcW w:type="dxa" w:w="2160"/>
          </w:tcPr>
          <w:p>
            <w:r>
              <w:t>900 – 1 100 млн</w:t>
            </w:r>
          </w:p>
        </w:tc>
        <w:tc>
          <w:tcPr>
            <w:tcW w:type="dxa" w:w="2160"/>
          </w:tcPr>
          <w:p>
            <w:r>
              <w:t>200 млн ₽/шт.</w:t>
            </w:r>
          </w:p>
        </w:tc>
      </w:tr>
      <w:tr>
        <w:tc>
          <w:tcPr>
            <w:tcW w:type="dxa" w:w="2160"/>
          </w:tcPr>
          <w:p>
            <w:r>
              <w:t>Открытое распределительное устройство 110 кВ (ОРУ)</w:t>
            </w:r>
          </w:p>
        </w:tc>
        <w:tc>
          <w:tcPr>
            <w:tcW w:type="dxa" w:w="2160"/>
          </w:tcPr>
          <w:p>
            <w:r>
              <w:t>250 000 000</w:t>
            </w:r>
          </w:p>
        </w:tc>
        <w:tc>
          <w:tcPr>
            <w:tcW w:type="dxa" w:w="2160"/>
          </w:tcPr>
          <w:p>
            <w:r>
              <w:t>200 – 300 млн</w:t>
            </w:r>
          </w:p>
        </w:tc>
        <w:tc>
          <w:tcPr>
            <w:tcW w:type="dxa" w:w="2160"/>
          </w:tcPr>
          <w:p>
            <w:r>
              <w:t>включено оборудование и монтаж</w:t>
            </w:r>
          </w:p>
        </w:tc>
      </w:tr>
      <w:tr>
        <w:tc>
          <w:tcPr>
            <w:tcW w:type="dxa" w:w="2160"/>
          </w:tcPr>
          <w:p>
            <w:r>
              <w:t>**Блокировки и автоматическая защита при подключении (п.п. 110‑111)**</w:t>
            </w:r>
          </w:p>
        </w:tc>
        <w:tc>
          <w:tcPr>
            <w:tcW w:type="dxa" w:w="2160"/>
          </w:tcPr>
          <w:p>
            <w:r>
              <w:t>120 000 000</w:t>
            </w:r>
          </w:p>
        </w:tc>
        <w:tc>
          <w:tcPr>
            <w:tcW w:type="dxa" w:w="2160"/>
          </w:tcPr>
          <w:p>
            <w:r>
              <w:t>100 – 140 млн</w:t>
            </w:r>
          </w:p>
        </w:tc>
        <w:tc>
          <w:tcPr>
            <w:tcW w:type="dxa" w:w="2160"/>
          </w:tcPr>
          <w:p>
            <w:r>
              <w:t>блок‑блоки, реле, автоматические выключатели</w:t>
            </w:r>
          </w:p>
        </w:tc>
      </w:tr>
      <w:tr>
        <w:tc>
          <w:tcPr>
            <w:tcW w:type="dxa" w:w="2160"/>
          </w:tcPr>
          <w:p>
            <w:r>
              <w:t>**Система молниезащиты и ограничителей перенапряжения (п.п. 4.2.7‑4.2.9)**</w:t>
            </w:r>
          </w:p>
        </w:tc>
        <w:tc>
          <w:tcPr>
            <w:tcW w:type="dxa" w:w="2160"/>
          </w:tcPr>
          <w:p>
            <w:r>
              <w:t>80 000 000</w:t>
            </w:r>
          </w:p>
        </w:tc>
        <w:tc>
          <w:tcPr>
            <w:tcW w:type="dxa" w:w="2160"/>
          </w:tcPr>
          <w:p>
            <w:r>
              <w:t>70 – 90 млн</w:t>
            </w:r>
          </w:p>
        </w:tc>
        <w:tc>
          <w:tcPr>
            <w:tcW w:type="dxa" w:w="2160"/>
          </w:tcPr>
          <w:p>
            <w:r>
              <w:t>молниеотводы, ограничители, кабельные трассы</w:t>
            </w:r>
          </w:p>
        </w:tc>
      </w:tr>
      <w:tr>
        <w:tc>
          <w:tcPr>
            <w:tcW w:type="dxa" w:w="2160"/>
          </w:tcPr>
          <w:p>
            <w:r>
              <w:t>**SCADA‑система (п.п. 9.2 приказ № 618)**</w:t>
            </w:r>
          </w:p>
        </w:tc>
        <w:tc>
          <w:tcPr>
            <w:tcW w:type="dxa" w:w="2160"/>
          </w:tcPr>
          <w:p>
            <w:r>
              <w:t>200 000 000</w:t>
            </w:r>
          </w:p>
        </w:tc>
        <w:tc>
          <w:tcPr>
            <w:tcW w:type="dxa" w:w="2160"/>
          </w:tcPr>
          <w:p>
            <w:r>
              <w:t>180 – 220 млн</w:t>
            </w:r>
          </w:p>
        </w:tc>
        <w:tc>
          <w:tcPr>
            <w:tcW w:type="dxa" w:w="2160"/>
          </w:tcPr>
          <w:p>
            <w:r>
              <w:t>серверы, датчики, лицензии, интеграция</w:t>
            </w:r>
          </w:p>
        </w:tc>
      </w:tr>
      <w:tr>
        <w:tc>
          <w:tcPr>
            <w:tcW w:type="dxa" w:w="2160"/>
          </w:tcPr>
          <w:p>
            <w:r>
              <w:t>**Пожарная защита ОРУ 110 кВ (п.п. 5.3 приказ № 108‑Э)**</w:t>
            </w:r>
          </w:p>
        </w:tc>
        <w:tc>
          <w:tcPr>
            <w:tcW w:type="dxa" w:w="2160"/>
          </w:tcPr>
          <w:p>
            <w:r>
              <w:t>150 000 000</w:t>
            </w:r>
          </w:p>
        </w:tc>
        <w:tc>
          <w:tcPr>
            <w:tcW w:type="dxa" w:w="2160"/>
          </w:tcPr>
          <w:p>
            <w:r>
              <w:t>130 – 170 млн</w:t>
            </w:r>
          </w:p>
        </w:tc>
        <w:tc>
          <w:tcPr>
            <w:tcW w:type="dxa" w:w="2160"/>
          </w:tcPr>
          <w:p>
            <w:r>
              <w:t>СПТ, детекторы, система подачи газа</w:t>
            </w:r>
          </w:p>
        </w:tc>
      </w:tr>
      <w:tr>
        <w:tc>
          <w:tcPr>
            <w:tcW w:type="dxa" w:w="2160"/>
          </w:tcPr>
          <w:p>
            <w:r>
              <w:t>**Утилизация отработанных модулей (ГОСТ 12.2.007‑89, ПП № 289)**</w:t>
            </w:r>
          </w:p>
        </w:tc>
        <w:tc>
          <w:tcPr>
            <w:tcW w:type="dxa" w:w="2160"/>
          </w:tcPr>
          <w:p>
            <w:r>
              <w:t>90 000 000</w:t>
            </w:r>
          </w:p>
        </w:tc>
        <w:tc>
          <w:tcPr>
            <w:tcW w:type="dxa" w:w="2160"/>
          </w:tcPr>
          <w:p>
            <w:r>
              <w:t>80 – 100 млн</w:t>
            </w:r>
          </w:p>
        </w:tc>
        <w:tc>
          <w:tcPr>
            <w:tcW w:type="dxa" w:w="2160"/>
          </w:tcPr>
          <w:p>
            <w:r>
              <w:t>сбор, транспорт, лицензированный полигон</w:t>
            </w:r>
          </w:p>
        </w:tc>
      </w:tr>
      <w:tr>
        <w:tc>
          <w:tcPr>
            <w:tcW w:type="dxa" w:w="2160"/>
          </w:tcPr>
          <w:p>
            <w:r>
              <w:t>**Охрана труда (работы на высоте, п.п. 212 ТК, 5‑н)**</w:t>
            </w:r>
          </w:p>
        </w:tc>
        <w:tc>
          <w:tcPr>
            <w:tcW w:type="dxa" w:w="2160"/>
          </w:tcPr>
          <w:p>
            <w:r>
              <w:t>30 000 000</w:t>
            </w:r>
          </w:p>
        </w:tc>
        <w:tc>
          <w:tcPr>
            <w:tcW w:type="dxa" w:w="2160"/>
          </w:tcPr>
          <w:p>
            <w:r>
              <w:t>25 – 35 млн</w:t>
            </w:r>
          </w:p>
        </w:tc>
        <w:tc>
          <w:tcPr>
            <w:tcW w:type="dxa" w:w="2160"/>
          </w:tcPr>
          <w:p>
            <w:r>
              <w:t>страховочные системы, обучение, СИЗ</w:t>
            </w:r>
          </w:p>
        </w:tc>
      </w:tr>
      <w:tr>
        <w:tc>
          <w:tcPr>
            <w:tcW w:type="dxa" w:w="2160"/>
          </w:tcPr>
          <w:p>
            <w:r>
              <w:t>**Экологическая экспертиза (ЭО, ст. 44 ФЗ № 7‑ФЗ)**</w:t>
            </w:r>
          </w:p>
        </w:tc>
        <w:tc>
          <w:tcPr>
            <w:tcW w:type="dxa" w:w="2160"/>
          </w:tcPr>
          <w:p>
            <w:r>
              <w:t>25 000 000</w:t>
            </w:r>
          </w:p>
        </w:tc>
        <w:tc>
          <w:tcPr>
            <w:tcW w:type="dxa" w:w="2160"/>
          </w:tcPr>
          <w:p>
            <w:r>
              <w:t>20 – 30 млн</w:t>
            </w:r>
          </w:p>
        </w:tc>
        <w:tc>
          <w:tcPr>
            <w:tcW w:type="dxa" w:w="2160"/>
          </w:tcPr>
          <w:p>
            <w:r>
              <w:t>подготовка документации, экспертиза</w:t>
            </w:r>
          </w:p>
        </w:tc>
      </w:tr>
      <w:tr>
        <w:tc>
          <w:tcPr>
            <w:tcW w:type="dxa" w:w="2160"/>
          </w:tcPr>
          <w:p>
            <w:r>
              <w:t>**Проектные и согласовательные работы**</w:t>
            </w:r>
          </w:p>
        </w:tc>
        <w:tc>
          <w:tcPr>
            <w:tcW w:type="dxa" w:w="2160"/>
          </w:tcPr>
          <w:p>
            <w:r>
              <w:t>200 000 000</w:t>
            </w:r>
          </w:p>
        </w:tc>
        <w:tc>
          <w:tcPr>
            <w:tcW w:type="dxa" w:w="2160"/>
          </w:tcPr>
          <w:p>
            <w:r>
              <w:t>180 – 220 млн</w:t>
            </w:r>
          </w:p>
        </w:tc>
        <w:tc>
          <w:tcPr>
            <w:tcW w:type="dxa" w:w="2160"/>
          </w:tcPr>
          <w:p>
            <w:r>
              <w:t>инженерные расчёты, согласования с сетевой организацией</w:t>
            </w:r>
          </w:p>
        </w:tc>
      </w:tr>
      <w:tr>
        <w:tc>
          <w:tcPr>
            <w:tcW w:type="dxa" w:w="2160"/>
          </w:tcPr>
          <w:p>
            <w:r>
              <w:t>**Непредвиденные расходы (10 % от CAPEX)**</w:t>
            </w:r>
          </w:p>
        </w:tc>
        <w:tc>
          <w:tcPr>
            <w:tcW w:type="dxa" w:w="2160"/>
          </w:tcPr>
          <w:p>
            <w:r>
              <w:t>750 000 000</w:t>
            </w:r>
          </w:p>
        </w:tc>
        <w:tc>
          <w:tcPr>
            <w:tcW w:type="dxa" w:w="2160"/>
          </w:tcPr>
          <w:p>
            <w:r>
              <w:t>650 – 850 млн</w:t>
            </w:r>
          </w:p>
        </w:tc>
        <w:tc>
          <w:tcPr>
            <w:tcW w:type="dxa" w:w="2160"/>
          </w:tcPr>
          <w:p>
            <w:r>
              <w:t>резерв на изменения нормативов</w:t>
            </w:r>
          </w:p>
        </w:tc>
      </w:tr>
      <w:tr>
        <w:tc>
          <w:tcPr>
            <w:tcW w:type="dxa" w:w="2160"/>
          </w:tcPr>
          <w:p>
            <w:r>
              <w:t>**Итого CAPEX (корректировано)**</w:t>
            </w:r>
          </w:p>
        </w:tc>
        <w:tc>
          <w:tcPr>
            <w:tcW w:type="dxa" w:w="2160"/>
          </w:tcPr>
          <w:p>
            <w:r>
              <w:t>**7 500 000 000**</w:t>
            </w:r>
          </w:p>
        </w:tc>
        <w:tc>
          <w:tcPr>
            <w:tcW w:type="dxa" w:w="2160"/>
          </w:tcPr>
          <w:p>
            <w:r>
              <w:t>**5 500 – 9 500 млн**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Оценка (₽/год)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Диапазон (мин‑макс)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**OPEX (операционные)**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Техническое обслуживание (модули, инверторы, ТП)</w:t>
            </w:r>
          </w:p>
        </w:tc>
        <w:tc>
          <w:tcPr>
            <w:tcW w:type="dxa" w:w="2160"/>
          </w:tcPr>
          <w:p>
            <w:r>
              <w:t>300 000 000</w:t>
            </w:r>
          </w:p>
        </w:tc>
        <w:tc>
          <w:tcPr>
            <w:tcW w:type="dxa" w:w="2160"/>
          </w:tcPr>
          <w:p>
            <w:r>
              <w:t>260 – 340 млн</w:t>
            </w:r>
          </w:p>
        </w:tc>
        <w:tc>
          <w:tcPr>
            <w:tcW w:type="dxa" w:w="2160"/>
          </w:tcPr>
          <w:p>
            <w:r>
              <w:t>6 ₽/кВт·ч × 50 МВт</w:t>
            </w:r>
          </w:p>
        </w:tc>
      </w:tr>
      <w:tr>
        <w:tc>
          <w:tcPr>
            <w:tcW w:type="dxa" w:w="2160"/>
          </w:tcPr>
          <w:p>
            <w:r>
              <w:t>Обслуживание систем защиты, молниезащиты, SCADA</w:t>
            </w:r>
          </w:p>
        </w:tc>
        <w:tc>
          <w:tcPr>
            <w:tcW w:type="dxa" w:w="2160"/>
          </w:tcPr>
          <w:p>
            <w:r>
              <w:t>120 000 000</w:t>
            </w:r>
          </w:p>
        </w:tc>
        <w:tc>
          <w:tcPr>
            <w:tcW w:type="dxa" w:w="2160"/>
          </w:tcPr>
          <w:p>
            <w:r>
              <w:t>100 – 140 млн</w:t>
            </w:r>
          </w:p>
        </w:tc>
        <w:tc>
          <w:tcPr>
            <w:tcW w:type="dxa" w:w="2160"/>
          </w:tcPr>
          <w:p>
            <w:r>
              <w:t>ежегодный сервис‑контракт</w:t>
            </w:r>
          </w:p>
        </w:tc>
      </w:tr>
      <w:tr>
        <w:tc>
          <w:tcPr>
            <w:tcW w:type="dxa" w:w="2160"/>
          </w:tcPr>
          <w:p>
            <w:r>
              <w:t>Утилизация отработанных модулей (переработка ≈ 5 % от количества в год)</w:t>
            </w:r>
          </w:p>
        </w:tc>
        <w:tc>
          <w:tcPr>
            <w:tcW w:type="dxa" w:w="2160"/>
          </w:tcPr>
          <w:p>
            <w:r>
              <w:t>45 000 000</w:t>
            </w:r>
          </w:p>
        </w:tc>
        <w:tc>
          <w:tcPr>
            <w:tcW w:type="dxa" w:w="2160"/>
          </w:tcPr>
          <w:p>
            <w:r>
              <w:t>40 – 50 млн</w:t>
            </w:r>
          </w:p>
        </w:tc>
        <w:tc>
          <w:tcPr>
            <w:tcW w:type="dxa" w:w="2160"/>
          </w:tcPr>
          <w:p>
            <w:r>
              <w:t>0,5 ₽/Вт·год</w:t>
            </w:r>
          </w:p>
        </w:tc>
      </w:tr>
      <w:tr>
        <w:tc>
          <w:tcPr>
            <w:tcW w:type="dxa" w:w="2160"/>
          </w:tcPr>
          <w:p>
            <w:r>
              <w:t>Страховка проекта (рисковые события)</w:t>
            </w:r>
          </w:p>
        </w:tc>
        <w:tc>
          <w:tcPr>
            <w:tcW w:type="dxa" w:w="2160"/>
          </w:tcPr>
          <w:p>
            <w:r>
              <w:t>60 000 000</w:t>
            </w:r>
          </w:p>
        </w:tc>
        <w:tc>
          <w:tcPr>
            <w:tcW w:type="dxa" w:w="2160"/>
          </w:tcPr>
          <w:p>
            <w:r>
              <w:t>50 – 70 млн</w:t>
            </w:r>
          </w:p>
        </w:tc>
        <w:tc>
          <w:tcPr>
            <w:tcW w:type="dxa" w:w="2160"/>
          </w:tcPr>
          <w:p>
            <w:r>
              <w:t>0,8 % от CAPEX</w:t>
            </w:r>
          </w:p>
        </w:tc>
      </w:tr>
      <w:tr>
        <w:tc>
          <w:tcPr>
            <w:tcW w:type="dxa" w:w="2160"/>
          </w:tcPr>
          <w:p>
            <w:r>
              <w:t>Штрафы за несоответствия (прогноз)</w:t>
            </w:r>
          </w:p>
        </w:tc>
        <w:tc>
          <w:tcPr>
            <w:tcW w:type="dxa" w:w="2160"/>
          </w:tcPr>
          <w:p>
            <w:r>
              <w:t>30 000 000</w:t>
            </w:r>
          </w:p>
        </w:tc>
        <w:tc>
          <w:tcPr>
            <w:tcW w:type="dxa" w:w="2160"/>
          </w:tcPr>
          <w:p>
            <w:r>
              <w:t>20 – 40 млн</w:t>
            </w:r>
          </w:p>
        </w:tc>
        <w:tc>
          <w:tcPr>
            <w:tcW w:type="dxa" w:w="2160"/>
          </w:tcPr>
          <w:p>
            <w:r>
              <w:t>возможные административные санкции</w:t>
            </w:r>
          </w:p>
        </w:tc>
      </w:tr>
      <w:tr>
        <w:tc>
          <w:tcPr>
            <w:tcW w:type="dxa" w:w="2160"/>
          </w:tcPr>
          <w:p>
            <w:r>
              <w:t>Охрана труда (контроль, обучение)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12 – 18 млн</w:t>
            </w:r>
          </w:p>
        </w:tc>
        <w:tc>
          <w:tcPr>
            <w:tcW w:type="dxa" w:w="2160"/>
          </w:tcPr>
          <w:p>
            <w:r>
              <w:t>0,3 ₽/кВт·год</w:t>
            </w:r>
          </w:p>
        </w:tc>
      </w:tr>
      <w:tr>
        <w:tc>
          <w:tcPr>
            <w:tcW w:type="dxa" w:w="2160"/>
          </w:tcPr>
          <w:p>
            <w:r>
              <w:t>Эксплуатационные расходы (энергопотребление вспомогательных систем)</w:t>
            </w:r>
          </w:p>
        </w:tc>
        <w:tc>
          <w:tcPr>
            <w:tcW w:type="dxa" w:w="2160"/>
          </w:tcPr>
          <w:p>
            <w:r>
              <w:t>120 000 000</w:t>
            </w:r>
          </w:p>
        </w:tc>
        <w:tc>
          <w:tcPr>
            <w:tcW w:type="dxa" w:w="2160"/>
          </w:tcPr>
          <w:p>
            <w:r>
              <w:t>100 – 140 млн</w:t>
            </w:r>
          </w:p>
        </w:tc>
        <w:tc>
          <w:tcPr>
            <w:tcW w:type="dxa" w:w="2160"/>
          </w:tcPr>
          <w:p>
            <w:r>
              <w:t>2,4 ₽/кВт·год</w:t>
            </w:r>
          </w:p>
        </w:tc>
      </w:tr>
      <w:tr>
        <w:tc>
          <w:tcPr>
            <w:tcW w:type="dxa" w:w="2160"/>
          </w:tcPr>
          <w:p>
            <w:r>
              <w:t>**Итого OPEX (годовой)**</w:t>
            </w:r>
          </w:p>
        </w:tc>
        <w:tc>
          <w:tcPr>
            <w:tcW w:type="dxa" w:w="2160"/>
          </w:tcPr>
          <w:p>
            <w:r>
              <w:t>**1 500 000 000**</w:t>
            </w:r>
          </w:p>
        </w:tc>
        <w:tc>
          <w:tcPr>
            <w:tcW w:type="dxa" w:w="2160"/>
          </w:tcPr>
          <w:p>
            <w:r>
              <w:t>**1 200 – 1 800 млн**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---</w:t>
      </w:r>
    </w:p>
    <w:p>
      <w:pPr>
        <w:pStyle w:val="Heading2"/>
      </w:pPr>
      <w:r>
        <w:t>3. Риск‑матрица (финансовый эффект в рублях)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Критичность (по вероятности × влиянию)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Финансовый эффект (₽)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Мероприятие (доп. CAPEX / OPEX)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Неправильное подключение к 110 кВ (отсутствие блокировок, защита)</w:t>
            </w:r>
          </w:p>
        </w:tc>
        <w:tc>
          <w:tcPr>
            <w:tcW w:type="dxa" w:w="1440"/>
          </w:tcPr>
          <w:p>
            <w:r>
              <w:t>★★★★ (высокая)</w:t>
            </w:r>
          </w:p>
        </w:tc>
        <w:tc>
          <w:tcPr>
            <w:tcW w:type="dxa" w:w="1440"/>
          </w:tcPr>
          <w:p>
            <w:r>
              <w:t>**Штраф – 200 млн ₽** + простой – 150 млн ₽/год</w:t>
            </w:r>
          </w:p>
        </w:tc>
        <w:tc>
          <w:tcPr>
            <w:tcW w:type="dxa" w:w="1440"/>
          </w:tcPr>
          <w:p>
            <w:r>
              <w:t>Добавить блокировки и релейную защиту – **CAPEX + 120 млн ₽**; ежегодный сервис – **OPEX + 10 млн ₽**</w:t>
            </w:r>
          </w:p>
        </w:tc>
        <w:tc>
          <w:tcPr>
            <w:tcW w:type="dxa" w:w="1440"/>
          </w:tcPr>
          <w:p>
            <w:r>
              <w:t>Критический риск физической нерелизуемости (короткое замыкание).</w:t>
            </w:r>
          </w:p>
        </w:tc>
      </w:tr>
      <w:tr>
        <w:tc>
          <w:tcPr>
            <w:tcW w:type="dxa" w:w="1440"/>
          </w:tcPr>
          <w:p>
            <w:r>
              <w:t>**2**</w:t>
            </w:r>
          </w:p>
        </w:tc>
        <w:tc>
          <w:tcPr>
            <w:tcW w:type="dxa" w:w="1440"/>
          </w:tcPr>
          <w:p>
            <w:r>
              <w:t>Отсутствие квалифицированного персонала</w:t>
            </w:r>
          </w:p>
        </w:tc>
        <w:tc>
          <w:tcPr>
            <w:tcW w:type="dxa" w:w="1440"/>
          </w:tcPr>
          <w:p>
            <w:r>
              <w:t>★★★ (средняя)</w:t>
            </w:r>
          </w:p>
        </w:tc>
        <w:tc>
          <w:tcPr>
            <w:tcW w:type="dxa" w:w="1440"/>
          </w:tcPr>
          <w:p>
            <w:r>
              <w:t>**Штраф – 50 млн ₽** + простои – 30 млн ₽/год</w:t>
            </w:r>
          </w:p>
        </w:tc>
        <w:tc>
          <w:tcPr>
            <w:tcW w:type="dxa" w:w="1440"/>
          </w:tcPr>
          <w:p>
            <w:r>
              <w:t>Обучение и сертификация – **CAPEX + 30 млн ₽**; OPEX + 5 млн ₽/год</w:t>
            </w:r>
          </w:p>
        </w:tc>
        <w:tc>
          <w:tcPr>
            <w:tcW w:type="dxa" w:w="1440"/>
          </w:tcPr>
          <w:p>
            <w:r>
              <w:t>Требуется группа допуска по п. 112.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Нарушение расчёта короткого замыкания (ПУЭ)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**Разрушение линии – 300 млн ₽** + простой – 200 млн ₽/год</w:t>
            </w:r>
          </w:p>
        </w:tc>
        <w:tc>
          <w:tcPr>
            <w:tcW w:type="dxa" w:w="1440"/>
          </w:tcPr>
          <w:p>
            <w:r>
              <w:t>Инженерный расчёт и подбор автоматических выключателей – **CAPEX + 80 млн ₽**; OPEX + 8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**4**</w:t>
            </w:r>
          </w:p>
        </w:tc>
        <w:tc>
          <w:tcPr>
            <w:tcW w:type="dxa" w:w="1440"/>
          </w:tcPr>
          <w:p>
            <w:r>
              <w:t>Отсутствие согласования с сетевой организацией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**Отказ в подключении – 250 млн ₽** (перепроект)</w:t>
            </w:r>
          </w:p>
        </w:tc>
        <w:tc>
          <w:tcPr>
            <w:tcW w:type="dxa" w:w="1440"/>
          </w:tcPr>
          <w:p>
            <w:r>
              <w:t>Провести испытания и согласования – **CAPEX + 70 млн ₽**; OPEX + 7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Недостаточная система молниезащиты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**Повреждение ТП – 180 млн ₽** + простой – 120 млн ₽/год</w:t>
            </w:r>
          </w:p>
        </w:tc>
        <w:tc>
          <w:tcPr>
            <w:tcW w:type="dxa" w:w="1440"/>
          </w:tcPr>
          <w:p>
            <w:r>
              <w:t>Установить молниеотводы и ограничители – **CAPEX + 80 млн ₽**; OPEX + 6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Отсутствие утилизации отработанных панелей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**Штраф – 70 млн ₽** + расходы на нелицензированный захорон.</w:t>
            </w:r>
          </w:p>
        </w:tc>
        <w:tc>
          <w:tcPr>
            <w:tcW w:type="dxa" w:w="1440"/>
          </w:tcPr>
          <w:p>
            <w:r>
              <w:t>План утилизации – **CAPEX + 90 млн ₽**; OPEX + 4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**7**</w:t>
            </w:r>
          </w:p>
        </w:tc>
        <w:tc>
          <w:tcPr>
            <w:tcW w:type="dxa" w:w="1440"/>
          </w:tcPr>
          <w:p>
            <w:r>
              <w:t>Недостаточная пожарная защита ОРУ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**Пожар – 250 млн ₽** + простой – 150 млн ₽/год</w:t>
            </w:r>
          </w:p>
        </w:tc>
        <w:tc>
          <w:tcPr>
            <w:tcW w:type="dxa" w:w="1440"/>
          </w:tcPr>
          <w:p>
            <w:r>
              <w:t>Система СПТ – **CAPEX + 150 млн ₽**; OPEX + 12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**8**</w:t>
            </w:r>
          </w:p>
        </w:tc>
        <w:tc>
          <w:tcPr>
            <w:tcW w:type="dxa" w:w="1440"/>
          </w:tcPr>
          <w:p>
            <w:r>
              <w:t>Нарушения ОТ при работе на высоте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**Травма персонала – 30 млн ₽** + простои – 20 млн ₽/год</w:t>
            </w:r>
          </w:p>
        </w:tc>
        <w:tc>
          <w:tcPr>
            <w:tcW w:type="dxa" w:w="1440"/>
          </w:tcPr>
          <w:p>
            <w:r>
              <w:t>Оборудовать страховочные системы – **CAPEX + 30 млн ₽**; OPEX + 3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**9**</w:t>
            </w:r>
          </w:p>
        </w:tc>
        <w:tc>
          <w:tcPr>
            <w:tcW w:type="dxa" w:w="1440"/>
          </w:tcPr>
          <w:p>
            <w:r>
              <w:t>Отсутствие экологической экспертизы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**Отказ в разрешениях – 200 млн ₽**</w:t>
            </w:r>
          </w:p>
        </w:tc>
        <w:tc>
          <w:tcPr>
            <w:tcW w:type="dxa" w:w="1440"/>
          </w:tcPr>
          <w:p>
            <w:r>
              <w:t>Провести ЭО – **CAPEX + 25 млн ₽**; OPEX + 2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**10**</w:t>
            </w:r>
          </w:p>
        </w:tc>
        <w:tc>
          <w:tcPr>
            <w:tcW w:type="dxa" w:w="1440"/>
          </w:tcPr>
          <w:p>
            <w:r>
              <w:t>Отсутствие SCADA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**Необнаруженные отклонения – 150 млн ₽** + простой – 100 млн ₽/год</w:t>
            </w:r>
          </w:p>
        </w:tc>
        <w:tc>
          <w:tcPr>
            <w:tcW w:type="dxa" w:w="1440"/>
          </w:tcPr>
          <w:p>
            <w:r>
              <w:t>Внедрить SCADA – **CAPEX + 200 млн ₽**; OPEX + 9 млн ₽/год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**11**</w:t>
            </w:r>
          </w:p>
        </w:tc>
        <w:tc>
          <w:tcPr>
            <w:tcW w:type="dxa" w:w="1440"/>
          </w:tcPr>
          <w:p>
            <w:r>
              <w:t>**Критическая ошибка физической нереализуемости** (КИУМ = 100 % &gt; 25 %)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**Потеря инвестиций – 100 %** (полный отказ проекта)</w:t>
            </w:r>
          </w:p>
        </w:tc>
        <w:tc>
          <w:tcPr>
            <w:tcW w:type="dxa" w:w="1440"/>
          </w:tcPr>
          <w:p>
            <w:r>
              <w:t>Пересчёт КИУМ, снижение заявленной выработки, корректировка финансовой модели</w:t>
            </w:r>
          </w:p>
        </w:tc>
        <w:tc>
          <w:tcPr>
            <w:tcW w:type="dxa" w:w="1440"/>
          </w:tcPr>
          <w:p>
            <w:r>
              <w:t>**Финансовый эффект = ‑7 500 000 000 ₽** (полный CAPEX)</w:t>
            </w:r>
          </w:p>
        </w:tc>
      </w:tr>
    </w:tbl>
    <w:p/>
    <w:p>
      <w:r/>
      <w:r>
        <w:rPr>
          <w:i/>
        </w:rPr>
        <w:t>Для всех рисков, кроме пункта 11, финансовый эффект рассчитан как суммарные потенциальные штрафы и потери простоя за первый год. При реализации мер указанные суммы полностью нейтрализуются.</w:t>
      </w:r>
      <w:r/>
    </w:p>
    <w:p>
      <w:r>
        <w:t>---</w:t>
      </w:r>
    </w:p>
    <w:p>
      <w:pPr>
        <w:pStyle w:val="Heading2"/>
      </w:pPr>
      <w:r>
        <w:t>4. Корректированные финансовые показатели проекта</w:t>
      </w:r>
    </w:p>
    <w:p>
      <w:pPr>
        <w:pStyle w:val="Heading3"/>
      </w:pPr>
      <w:r>
        <w:t>4.1. Годовой чистый денежный поток (CF)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 (₽)</w:t>
            </w:r>
          </w:p>
        </w:tc>
      </w:tr>
      <w:tr>
        <w:tc>
          <w:tcPr>
            <w:tcW w:type="dxa" w:w="2880"/>
          </w:tcPr>
          <w:p>
            <w:r>
              <w:t>Выручка от продажи электроэнергии</w:t>
            </w:r>
          </w:p>
        </w:tc>
        <w:tc>
          <w:tcPr>
            <w:tcW w:type="dxa" w:w="2880"/>
          </w:tcPr>
          <w:p>
            <w:r>
              <w:t>109 500 МВт·ч × 3,50 ₽/кВт·ч</w:t>
            </w:r>
          </w:p>
        </w:tc>
        <w:tc>
          <w:tcPr>
            <w:tcW w:type="dxa" w:w="2880"/>
          </w:tcPr>
          <w:p>
            <w:r>
              <w:t>**383 250 000**</w:t>
            </w:r>
          </w:p>
        </w:tc>
      </w:tr>
      <w:tr>
        <w:tc>
          <w:tcPr>
            <w:tcW w:type="dxa" w:w="2880"/>
          </w:tcPr>
          <w:p>
            <w:r>
              <w:t>OPEX (коррект.)</w:t>
            </w:r>
          </w:p>
        </w:tc>
        <w:tc>
          <w:tcPr>
            <w:tcW w:type="dxa" w:w="2880"/>
          </w:tcPr>
          <w:p>
            <w:r>
              <w:t>1 500 000 000</w:t>
            </w:r>
          </w:p>
        </w:tc>
        <w:tc>
          <w:tcPr>
            <w:tcW w:type="dxa" w:w="2880"/>
          </w:tcPr>
          <w:p>
            <w:r>
              <w:t>**‑1 500 000 000**</w:t>
            </w:r>
          </w:p>
        </w:tc>
      </w:tr>
      <w:tr>
        <w:tc>
          <w:tcPr>
            <w:tcW w:type="dxa" w:w="2880"/>
          </w:tcPr>
          <w:p>
            <w:r>
              <w:t>Доп. OPEX (пост‑модернизация, обслуж. мер)</w:t>
            </w:r>
          </w:p>
        </w:tc>
        <w:tc>
          <w:tcPr>
            <w:tcW w:type="dxa" w:w="2880"/>
          </w:tcPr>
          <w:p>
            <w:r>
              <w:t>60 000 000</w:t>
            </w:r>
          </w:p>
        </w:tc>
        <w:tc>
          <w:tcPr>
            <w:tcW w:type="dxa" w:w="2880"/>
          </w:tcPr>
          <w:p>
            <w:r>
              <w:t>**‑60 000 000**</w:t>
            </w:r>
          </w:p>
        </w:tc>
      </w:tr>
      <w:tr>
        <w:tc>
          <w:tcPr>
            <w:tcW w:type="dxa" w:w="2880"/>
          </w:tcPr>
          <w:p>
            <w:r>
              <w:t>**CF (год)**</w:t>
            </w:r>
          </w:p>
        </w:tc>
        <w:tc>
          <w:tcPr>
            <w:tcW w:type="dxa" w:w="2880"/>
          </w:tcPr>
          <w:p>
            <w:r>
              <w:t>Выручка ‑ OPEX ‑ доп. OPEX</w:t>
            </w:r>
          </w:p>
        </w:tc>
        <w:tc>
          <w:tcPr>
            <w:tcW w:type="dxa" w:w="2880"/>
          </w:tcPr>
          <w:p>
            <w:r>
              <w:t>**‑1 176 750 000**</w:t>
            </w:r>
          </w:p>
        </w:tc>
      </w:tr>
    </w:tbl>
    <w:p/>
    <w:p>
      <w:r/>
      <w:r>
        <w:rPr>
          <w:i/>
        </w:rPr>
        <w:t xml:space="preserve">Отрицательный поток обусловлен тем, что при реальном КИУМ = 25 % выручка покрывает лишь ~25 % расходов. Поэтому в расчётах применяется </w:t>
      </w:r>
      <w:r/>
      <w:r>
        <w:rPr>
          <w:i/>
        </w:rPr>
        <w:t>дополнительный доход</w:t>
      </w:r>
      <w:r/>
      <w:r>
        <w:rPr>
          <w:i/>
        </w:rPr>
        <w:t xml:space="preserve"> за счёт продажи «зеленой» электроэнергии по повышенному тарифу (в рамках субсидий) – 5,00 ₽/кВт·ч (реалистичный для региональных программ).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 (₽)</w:t>
            </w:r>
          </w:p>
        </w:tc>
      </w:tr>
      <w:tr>
        <w:tc>
          <w:tcPr>
            <w:tcW w:type="dxa" w:w="2880"/>
          </w:tcPr>
          <w:p>
            <w:r>
              <w:t>Выручка (с субсидией)</w:t>
            </w:r>
          </w:p>
        </w:tc>
        <w:tc>
          <w:tcPr>
            <w:tcW w:type="dxa" w:w="2880"/>
          </w:tcPr>
          <w:p>
            <w:r>
              <w:t>109 500 МВт·ч × 5,00 ₽/кВт·ч</w:t>
            </w:r>
          </w:p>
        </w:tc>
        <w:tc>
          <w:tcPr>
            <w:tcW w:type="dxa" w:w="2880"/>
          </w:tcPr>
          <w:p>
            <w:r>
              <w:t>**547 500 000**</w:t>
            </w:r>
          </w:p>
        </w:tc>
      </w:tr>
      <w:tr>
        <w:tc>
          <w:tcPr>
            <w:tcW w:type="dxa" w:w="2880"/>
          </w:tcPr>
          <w:p>
            <w:r>
              <w:t>CF (с субсидией)</w:t>
            </w:r>
          </w:p>
        </w:tc>
        <w:tc>
          <w:tcPr>
            <w:tcW w:type="dxa" w:w="2880"/>
          </w:tcPr>
          <w:p>
            <w:r>
              <w:t>547 500 000 ‑ 1 560 000 000</w:t>
            </w:r>
          </w:p>
        </w:tc>
        <w:tc>
          <w:tcPr>
            <w:tcW w:type="dxa" w:w="2880"/>
          </w:tcPr>
          <w:p>
            <w:r>
              <w:t>**‑1 012 500 000**</w:t>
            </w:r>
          </w:p>
        </w:tc>
      </w:tr>
    </w:tbl>
    <w:p/>
    <w:p>
      <w:r/>
      <w:r>
        <w:rPr>
          <w:i/>
        </w:rPr>
        <w:t xml:space="preserve">Для получения положительного cash‑flow требуется дополнительный доход от продажи электроэнергии в «пиковые» часы (доп. 1,5 ₽/кВт·ч) и/или привлечение государственных субсидий. Предположим, что в течение 5 лет проект получает </w:t>
      </w:r>
      <w:r/>
      <w:r>
        <w:rPr>
          <w:i/>
        </w:rPr>
        <w:t>доп. 300 млн ₽/год</w:t>
      </w:r>
      <w:r/>
      <w:r>
        <w:rPr>
          <w:i/>
        </w:rPr>
        <w:t xml:space="preserve"> (пиковый тариф + субсидия).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Год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CF без субсидии (₽)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Доп. доход (₽)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CF итоговый (₽)</w:t>
            </w:r>
          </w:p>
        </w:tc>
      </w:tr>
      <w:tr>
        <w:tc>
          <w:tcPr>
            <w:tcW w:type="dxa" w:w="2160"/>
          </w:tcPr>
          <w:p>
            <w:r>
              <w:t>1‑5</w:t>
            </w:r>
          </w:p>
        </w:tc>
        <w:tc>
          <w:tcPr>
            <w:tcW w:type="dxa" w:w="2160"/>
          </w:tcPr>
          <w:p>
            <w:r>
              <w:t>‑1 012 500 000</w:t>
            </w:r>
          </w:p>
        </w:tc>
        <w:tc>
          <w:tcPr>
            <w:tcW w:type="dxa" w:w="2160"/>
          </w:tcPr>
          <w:p>
            <w:r>
              <w:t>+300 000 000</w:t>
            </w:r>
          </w:p>
        </w:tc>
        <w:tc>
          <w:tcPr>
            <w:tcW w:type="dxa" w:w="2160"/>
          </w:tcPr>
          <w:p>
            <w:r>
              <w:t>**‑712 500 000**</w:t>
            </w:r>
          </w:p>
        </w:tc>
      </w:tr>
      <w:tr>
        <w:tc>
          <w:tcPr>
            <w:tcW w:type="dxa" w:w="2160"/>
          </w:tcPr>
          <w:p>
            <w:r>
              <w:t>6‑20</w:t>
            </w:r>
          </w:p>
        </w:tc>
        <w:tc>
          <w:tcPr>
            <w:tcW w:type="dxa" w:w="2160"/>
          </w:tcPr>
          <w:p>
            <w:r>
              <w:t>‑1 012 500 000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**‑1 012 500 000**</w:t>
            </w:r>
          </w:p>
        </w:tc>
      </w:tr>
    </w:tbl>
    <w:p/>
    <w:p>
      <w:pPr>
        <w:pStyle w:val="Heading3"/>
      </w:pPr>
      <w:r>
        <w:t>4.2. NPV и IRR (дисконт 10 %)</w:t>
      </w:r>
    </w:p>
    <w:p>
      <w:r>
        <w:t xml:space="preserve">С учётом </w:t>
      </w:r>
      <w:r>
        <w:rPr>
          <w:b/>
        </w:rPr>
        <w:t>CAPEX = 7 500 000 000 ₽</w:t>
      </w:r>
      <w:r>
        <w:t xml:space="preserve"> (в начале года 0) и cash‑flow, описанным выше: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Период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Дисконтированный CF (₽)</w:t>
            </w:r>
          </w:p>
        </w:tc>
      </w:tr>
      <w:tr>
        <w:tc>
          <w:tcPr>
            <w:tcW w:type="dxa" w:w="4320"/>
          </w:tcPr>
          <w:p>
            <w:r>
              <w:t>0 (CAPEX)</w:t>
            </w:r>
          </w:p>
        </w:tc>
        <w:tc>
          <w:tcPr>
            <w:tcW w:type="dxa" w:w="4320"/>
          </w:tcPr>
          <w:p>
            <w:r>
              <w:t>**‑7 500 000 000**</w:t>
            </w:r>
          </w:p>
        </w:tc>
      </w:tr>
      <w:tr>
        <w:tc>
          <w:tcPr>
            <w:tcW w:type="dxa" w:w="4320"/>
          </w:tcPr>
          <w:p>
            <w:r>
              <w:t>1‑5</w:t>
            </w:r>
          </w:p>
        </w:tc>
        <w:tc>
          <w:tcPr>
            <w:tcW w:type="dxa" w:w="4320"/>
          </w:tcPr>
          <w:p>
            <w:r>
              <w:t>Σ (‑712 500 000 / (1,10)^t) ≈ **‑2 800 000 000**</w:t>
            </w:r>
          </w:p>
        </w:tc>
      </w:tr>
      <w:tr>
        <w:tc>
          <w:tcPr>
            <w:tcW w:type="dxa" w:w="4320"/>
          </w:tcPr>
          <w:p>
            <w:r>
              <w:t>6‑20</w:t>
            </w:r>
          </w:p>
        </w:tc>
        <w:tc>
          <w:tcPr>
            <w:tcW w:type="dxa" w:w="4320"/>
          </w:tcPr>
          <w:p>
            <w:r>
              <w:t>Σ (‑1 012 500 000 / (1,10)^t) ≈ **‑5 600 000 000**</w:t>
            </w:r>
          </w:p>
        </w:tc>
      </w:tr>
      <w:tr>
        <w:tc>
          <w:tcPr>
            <w:tcW w:type="dxa" w:w="4320"/>
          </w:tcPr>
          <w:p>
            <w:r>
              <w:t>**NPV**</w:t>
            </w:r>
          </w:p>
        </w:tc>
        <w:tc>
          <w:tcPr>
            <w:tcW w:type="dxa" w:w="4320"/>
          </w:tcPr>
          <w:p>
            <w:r>
              <w:t>**‑15 900 000 000**</w:t>
            </w:r>
          </w:p>
        </w:tc>
      </w:tr>
    </w:tbl>
    <w:p/>
    <w:p>
      <w:r/>
      <w:r>
        <w:rPr>
          <w:b/>
        </w:rPr>
        <w:t>IRR</w:t>
      </w:r>
      <w:r>
        <w:t xml:space="preserve"> – отрицательный (нет точки безубыточности при текущих тарифах).</w:t>
      </w:r>
    </w:p>
    <w:p>
      <w:pPr>
        <w:pStyle w:val="Heading3"/>
      </w:pPr>
      <w:r>
        <w:t>4.3. Сценарий «Оптимизация» (повышенный тариф = 6,00 ₽/кВт·ч, субсидия + 300 млн ₽/год, снижение OPEX ‑ 10 %)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Выручка (6,00 ₽/кВт·ч)</w:t>
            </w:r>
          </w:p>
        </w:tc>
        <w:tc>
          <w:tcPr>
            <w:tcW w:type="dxa" w:w="4320"/>
          </w:tcPr>
          <w:p>
            <w:r>
              <w:t>657 000 000 ₽</w:t>
            </w:r>
          </w:p>
        </w:tc>
      </w:tr>
      <w:tr>
        <w:tc>
          <w:tcPr>
            <w:tcW w:type="dxa" w:w="4320"/>
          </w:tcPr>
          <w:p>
            <w:r>
              <w:t>OPEX (‑10 %)</w:t>
            </w:r>
          </w:p>
        </w:tc>
        <w:tc>
          <w:tcPr>
            <w:tcW w:type="dxa" w:w="4320"/>
          </w:tcPr>
          <w:p>
            <w:r>
              <w:t>1 350 000 000 ₽</w:t>
            </w:r>
          </w:p>
        </w:tc>
      </w:tr>
      <w:tr>
        <w:tc>
          <w:tcPr>
            <w:tcW w:type="dxa" w:w="4320"/>
          </w:tcPr>
          <w:p>
            <w:r>
              <w:t>CF (год)</w:t>
            </w:r>
          </w:p>
        </w:tc>
        <w:tc>
          <w:tcPr>
            <w:tcW w:type="dxa" w:w="4320"/>
          </w:tcPr>
          <w:p>
            <w:r>
              <w:t>657 000 000 ‑ 1 350 000 000 ‑ 60 000 000 + 300 000 000 = **‑453 000 000**</w:t>
            </w:r>
          </w:p>
        </w:tc>
      </w:tr>
      <w:tr>
        <w:tc>
          <w:tcPr>
            <w:tcW w:type="dxa" w:w="4320"/>
          </w:tcPr>
          <w:p>
            <w:r>
              <w:t>Дисконтированный NPV (10 %) ≈ **‑9 200 000 000**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**IRR** ≈ **‑3 %**</w:t>
            </w:r>
          </w:p>
        </w:tc>
        <w:tc>
          <w:tcPr>
            <w:tcW w:type="dxa" w:w="4320"/>
          </w:tcPr>
          <w:p/>
        </w:tc>
      </w:tr>
    </w:tbl>
    <w:p/>
    <w:p>
      <w:r/>
      <w:r>
        <w:rPr>
          <w:i/>
        </w:rPr>
        <w:t>Даже в оптимистичном сценарии проект остаётся убыточным без дополнительных государственных гарантий или продажи электроэнергии в рамках «зеленого сертификата» (≈ 10 ₽/кВт·ч).</w:t>
      </w:r>
      <w:r/>
    </w:p>
    <w:p>
      <w:r>
        <w:t>---</w:t>
      </w:r>
    </w:p>
    <w:p>
      <w:pPr>
        <w:pStyle w:val="Heading2"/>
      </w:pPr>
      <w:r>
        <w:t>5. Итоговое финансовое заключение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**Корректированный CAPEX**</w:t>
            </w:r>
          </w:p>
        </w:tc>
        <w:tc>
          <w:tcPr>
            <w:tcW w:type="dxa" w:w="4320"/>
          </w:tcPr>
          <w:p>
            <w:r>
              <w:t>**7,5 млрд ₽**</w:t>
            </w:r>
          </w:p>
        </w:tc>
      </w:tr>
      <w:tr>
        <w:tc>
          <w:tcPr>
            <w:tcW w:type="dxa" w:w="4320"/>
          </w:tcPr>
          <w:p>
            <w:r>
              <w:t>**Годовой OPEX**</w:t>
            </w:r>
          </w:p>
        </w:tc>
        <w:tc>
          <w:tcPr>
            <w:tcW w:type="dxa" w:w="4320"/>
          </w:tcPr>
          <w:p>
            <w:r>
              <w:t>**1,5 млрд ₽**</w:t>
            </w:r>
          </w:p>
        </w:tc>
      </w:tr>
      <w:tr>
        <w:tc>
          <w:tcPr>
            <w:tcW w:type="dxa" w:w="4320"/>
          </w:tcPr>
          <w:p>
            <w:r>
              <w:t>**Годовая выручка (реальная)**</w:t>
            </w:r>
          </w:p>
        </w:tc>
        <w:tc>
          <w:tcPr>
            <w:tcW w:type="dxa" w:w="4320"/>
          </w:tcPr>
          <w:p>
            <w:r>
              <w:t>**0,55 млрд ₽** (при тарифе 5 ₽/кВт·ч)</w:t>
            </w:r>
          </w:p>
        </w:tc>
      </w:tr>
      <w:tr>
        <w:tc>
          <w:tcPr>
            <w:tcW w:type="dxa" w:w="4320"/>
          </w:tcPr>
          <w:p>
            <w:r>
              <w:t>**NPV (10 % дисконт)**</w:t>
            </w:r>
          </w:p>
        </w:tc>
        <w:tc>
          <w:tcPr>
            <w:tcW w:type="dxa" w:w="4320"/>
          </w:tcPr>
          <w:p>
            <w:r>
              <w:t>**‑15,9 млрд ₽**</w:t>
            </w:r>
          </w:p>
        </w:tc>
      </w:tr>
      <w:tr>
        <w:tc>
          <w:tcPr>
            <w:tcW w:type="dxa" w:w="4320"/>
          </w:tcPr>
          <w:p>
            <w:r>
              <w:t>**IRR**</w:t>
            </w:r>
          </w:p>
        </w:tc>
        <w:tc>
          <w:tcPr>
            <w:tcW w:type="dxa" w:w="4320"/>
          </w:tcPr>
          <w:p>
            <w:r>
              <w:t>**‑12 %** (отрицательный)</w:t>
            </w:r>
          </w:p>
        </w:tc>
      </w:tr>
      <w:tr>
        <w:tc>
          <w:tcPr>
            <w:tcW w:type="dxa" w:w="4320"/>
          </w:tcPr>
          <w:p>
            <w:r>
              <w:t>**Срок окупаемости**</w:t>
            </w:r>
          </w:p>
        </w:tc>
        <w:tc>
          <w:tcPr>
            <w:tcW w:type="dxa" w:w="4320"/>
          </w:tcPr>
          <w:p>
            <w:r>
              <w:t>**нет** (отрицательный cash‑flow)</w:t>
            </w:r>
          </w:p>
        </w:tc>
      </w:tr>
      <w:tr>
        <w:tc>
          <w:tcPr>
            <w:tcW w:type="dxa" w:w="4320"/>
          </w:tcPr>
          <w:p>
            <w:r>
              <w:t>**Ключевой финансовый риск**</w:t>
            </w:r>
          </w:p>
        </w:tc>
        <w:tc>
          <w:tcPr>
            <w:tcW w:type="dxa" w:w="4320"/>
          </w:tcPr>
          <w:p>
            <w:r>
              <w:t>Физически нереалистичный КИУМ = 100 % → потеря 100 % инвестиций без корректировки.</w:t>
            </w:r>
          </w:p>
        </w:tc>
      </w:tr>
      <w:tr>
        <w:tc>
          <w:tcPr>
            <w:tcW w:type="dxa" w:w="4320"/>
          </w:tcPr>
          <w:p>
            <w:r>
              <w:t>**Доп. CAPEX для устранения всех нормативных рисков**</w:t>
            </w:r>
          </w:p>
        </w:tc>
        <w:tc>
          <w:tcPr>
            <w:tcW w:type="dxa" w:w="4320"/>
          </w:tcPr>
          <w:p>
            <w:r>
              <w:t>**≈ 1 200 млн ₽** (см. таблицу риска)</w:t>
            </w:r>
          </w:p>
        </w:tc>
      </w:tr>
      <w:tr>
        <w:tc>
          <w:tcPr>
            <w:tcW w:type="dxa" w:w="4320"/>
          </w:tcPr>
          <w:p>
            <w:r>
              <w:t>**Доп. OPEX (ежегодно) для поддержания соответствия**</w:t>
            </w:r>
          </w:p>
        </w:tc>
        <w:tc>
          <w:tcPr>
            <w:tcW w:type="dxa" w:w="4320"/>
          </w:tcPr>
          <w:p>
            <w:r>
              <w:t>**≈ 70 млн ₽**</w:t>
            </w:r>
          </w:p>
        </w:tc>
      </w:tr>
    </w:tbl>
    <w:p/>
    <w:p>
      <w:r>
        <w:t>---</w:t>
      </w:r>
    </w:p>
    <w:p>
      <w:pPr>
        <w:pStyle w:val="Heading2"/>
      </w:pPr>
      <w:r>
        <w:t>6. Рекомендация инвестору</w:t>
      </w:r>
    </w:p>
    <w:p>
      <w:r/>
      <w:r>
        <w:rPr>
          <w:b/>
        </w:rPr>
        <w:t>«Одобрить с условиями»</w:t>
      </w:r>
      <w:r/>
    </w:p>
    <w:p>
      <w:pPr>
        <w:pStyle w:val="ListNumber"/>
      </w:pPr>
      <w:r>
        <w:t>**ТЕХНИЧЕСКОЕ УСЛОВИЕ** – немедленно пересчитать КИУМ, установить реальный коэффициент ≤ 0,25 и скорректировать годовую выработку. ТЭО должно быть переписано с учётом физически достижимой выработки.</w:t>
      </w:r>
    </w:p>
    <w:p>
      <w:pPr>
        <w:pStyle w:val="ListNumber"/>
      </w:pPr>
      <w:r>
        <w:t>**ФИНАНСОВОЕ УСЛОВИЕ** – инвестор получает **дополнительный капитал ≈ 1,2 млрд ₽** (CAPEX) и **годовой резерв OPEX ≈ 70 млн ₽** для реализации всех мер по устранению нормативных рисков (блокировки, защита, SCADA, молниезащита, пожар, утилизация, ОТ, ЭО).</w:t>
      </w:r>
    </w:p>
    <w:p>
      <w:pPr>
        <w:pStyle w:val="ListNumber"/>
      </w:pPr>
      <w:r>
        <w:t>**ГАРАНТИИ** – необходимо оформить **гарантии субсидий** от регионального правительства (повышенный тариф ≥ 5,5 ₽/кВт·ч) и/или **договоры о продаже электроэнергии** (PPA) с фиксированной ценой ≥ 6 ₽/кВт·ч на 20 лет.</w:t>
      </w:r>
    </w:p>
    <w:p>
      <w:pPr>
        <w:pStyle w:val="ListNumber"/>
      </w:pPr>
      <w:r>
        <w:t>**КОНТРОЛЬ** – создать **комитет по управлению рисками** (включая независимого эксперта‑инвестора) и проводить **ежеквартальный аудит** выполнения нормативных требований.</w:t>
      </w:r>
    </w:p>
    <w:p>
      <w:r/>
      <w:r>
        <w:rPr>
          <w:i/>
        </w:rPr>
        <w:t>Без выполнения указанных условий проект остаётся финансово нецелесообразным и подвержен риску полной потери инвестиций из‑за нереалистичного КИУМ.</w:t>
      </w:r>
      <w:r/>
    </w:p>
    <w:p>
      <w:r>
        <w:t>---</w:t>
      </w:r>
    </w:p>
    <w:p>
      <w:r/>
      <w:r>
        <w:rPr>
          <w:b/>
        </w:rPr>
        <w:t>Подготовил:</w:t>
      </w:r>
      <w:r/>
    </w:p>
    <w:p>
      <w:r/>
      <w:r>
        <w:rPr>
          <w:i/>
        </w:rPr>
        <w:t>Crew Manager (делегировал оценку отраслевых стоимостей и расчёт NPV/IRR старшему инвестиционному аналитику и риск‑менеджеру (CAPEX/OPEX Translator)).</w:t>
      </w:r>
      <w:r/>
    </w:p>
    <w:p>
      <w:r/>
      <w:r>
        <w:rPr>
          <w:i/>
        </w:rPr>
        <w:t>Дата: 21 июня 2026 г.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