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>
        <w:rPr>
          <w:b/>
        </w:rPr>
      </w:r>
      <w:r>
        <w:t>КРИТИЧЕСКОЕ ИНВЕСТИЦИОННО‑ТЕХНИЧЕСКОЕ ЗАКЛЮЧЕНИЕ (Due Diligence)</w:t>
      </w:r>
    </w:p>
    <w:p>
      <w:r>
        <w:t>по проекту строительства солнечной электростанции (СЭС) 50 МВт</w:t>
      </w:r>
      <w:r>
        <w:rPr>
          <w:b/>
        </w:rPr>
      </w:r>
      <w:r/>
    </w:p>
    <w:p>
      <w:r>
        <w:t>---</w:t>
      </w:r>
    </w:p>
    <w:p>
      <w:pPr>
        <w:pStyle w:val="Heading2"/>
      </w:pPr>
      <w:r>
        <w:t>1. Исходные данные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Примечание</w:t>
            </w:r>
          </w:p>
        </w:tc>
      </w:tr>
      <w:tr>
        <w:tc>
          <w:tcPr>
            <w:tcW w:type="dxa" w:w="2880"/>
          </w:tcPr>
          <w:p>
            <w:r>
              <w:t>Установленная мощность</w:t>
            </w:r>
          </w:p>
        </w:tc>
        <w:tc>
          <w:tcPr>
            <w:tcW w:type="dxa" w:w="2880"/>
          </w:tcPr>
          <w:p>
            <w:r>
              <w:t>**50 МВт** (50 000 кВт)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Базовый диапазон CAPEX (по отраслевому бенчмарку)</w:t>
            </w:r>
          </w:p>
        </w:tc>
        <w:tc>
          <w:tcPr>
            <w:tcW w:type="dxa" w:w="2880"/>
          </w:tcPr>
          <w:p>
            <w:r>
              <w:t>**50 000 – 70 000 ₽/кВт**</w:t>
            </w:r>
          </w:p>
        </w:tc>
        <w:tc>
          <w:tcPr>
            <w:tcW w:type="dxa" w:w="2880"/>
          </w:tcPr>
          <w:p>
            <w:r>
              <w:t>Среднее = 60 000 ₽/кВт</w:t>
            </w:r>
          </w:p>
        </w:tc>
      </w:tr>
      <w:tr>
        <w:tc>
          <w:tcPr>
            <w:tcW w:type="dxa" w:w="2880"/>
          </w:tcPr>
          <w:p>
            <w:r>
              <w:t>Базовый диапазон OPEX (по отраслевому бенчмарку)</w:t>
            </w:r>
          </w:p>
        </w:tc>
        <w:tc>
          <w:tcPr>
            <w:tcW w:type="dxa" w:w="2880"/>
          </w:tcPr>
          <w:p>
            <w:r>
              <w:t>**1,0 – 2,0 % от CAPEX**</w:t>
            </w:r>
          </w:p>
        </w:tc>
        <w:tc>
          <w:tcPr>
            <w:tcW w:type="dxa" w:w="2880"/>
          </w:tcPr>
          <w:p>
            <w:r>
              <w:t>Среднее = 1,5 %</w:t>
            </w:r>
          </w:p>
        </w:tc>
      </w:tr>
      <w:tr>
        <w:tc>
          <w:tcPr>
            <w:tcW w:type="dxa" w:w="2880"/>
          </w:tcPr>
          <w:p>
            <w:r>
              <w:t>Тариф ДПМ ВИЭ (15‑летний)</w:t>
            </w:r>
          </w:p>
        </w:tc>
        <w:tc>
          <w:tcPr>
            <w:tcW w:type="dxa" w:w="2880"/>
          </w:tcPr>
          <w:p>
            <w:r>
              <w:t>**12,5 ₽/кВт·ч** (в пределах 10‑15 ₽)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Ставка дисконтирования</w:t>
            </w:r>
          </w:p>
        </w:tc>
        <w:tc>
          <w:tcPr>
            <w:tcW w:type="dxa" w:w="2880"/>
          </w:tcPr>
          <w:p>
            <w:r>
              <w:t>**8 %**</w:t>
            </w:r>
          </w:p>
        </w:tc>
        <w:tc>
          <w:tcPr>
            <w:tcW w:type="dxa" w:w="2880"/>
          </w:tcPr>
          <w:p>
            <w:r>
              <w:t>Принята для расчётов</w:t>
            </w:r>
          </w:p>
        </w:tc>
      </w:tr>
      <w:tr>
        <w:tc>
          <w:tcPr>
            <w:tcW w:type="dxa" w:w="2880"/>
          </w:tcPr>
          <w:p>
            <w:r>
              <w:t>Срок анализа</w:t>
            </w:r>
          </w:p>
        </w:tc>
        <w:tc>
          <w:tcPr>
            <w:tcW w:type="dxa" w:w="2880"/>
          </w:tcPr>
          <w:p>
            <w:r>
              <w:t>**15 лет** (срок действия тарифного договора)</w:t>
            </w:r>
          </w:p>
        </w:tc>
        <w:tc>
          <w:tcPr>
            <w:tcW w:type="dxa" w:w="2880"/>
          </w:tcPr>
          <w:p>
            <w:r>
              <w:t>–</w:t>
            </w:r>
          </w:p>
        </w:tc>
      </w:tr>
      <w:tr>
        <w:tc>
          <w:tcPr>
            <w:tcW w:type="dxa" w:w="2880"/>
          </w:tcPr>
          <w:p>
            <w:r>
              <w:t>Коэффициент использования установленной мощности (КИУМ)</w:t>
            </w:r>
          </w:p>
        </w:tc>
        <w:tc>
          <w:tcPr>
            <w:tcW w:type="dxa" w:w="2880"/>
          </w:tcPr>
          <w:p>
            <w:r>
              <w:t>**20 %** (реалистичный диапазон 15‑25 % для СЭС)</w:t>
            </w:r>
          </w:p>
        </w:tc>
        <w:tc>
          <w:tcPr>
            <w:tcW w:type="dxa" w:w="2880"/>
          </w:tcPr>
          <w:p>
            <w:r>
              <w:t>Корректировка после выявления ошибки в ТЭО</w:t>
            </w:r>
          </w:p>
        </w:tc>
      </w:tr>
      <w:tr>
        <w:tc>
          <w:tcPr>
            <w:tcW w:type="dxa" w:w="2880"/>
          </w:tcPr>
          <w:p>
            <w:r>
              <w:t>Годовая выработка электроэнергии</w:t>
            </w:r>
          </w:p>
        </w:tc>
        <w:tc>
          <w:tcPr>
            <w:tcW w:type="dxa" w:w="2880"/>
          </w:tcPr>
          <w:p>
            <w:r>
              <w:t>**109 500 МВт·ч** = 50 МВт × 8760 ч × 0,20</w:t>
            </w:r>
          </w:p>
        </w:tc>
        <w:tc>
          <w:tcPr>
            <w:tcW w:type="dxa" w:w="2880"/>
          </w:tcPr>
          <w:p>
            <w:r>
              <w:t>Рассчитано с учётом КИУМ = 20 %</w:t>
            </w:r>
          </w:p>
        </w:tc>
      </w:tr>
    </w:tbl>
    <w:p/>
    <w:p>
      <w:r>
        <w:t xml:space="preserve">&gt; </w:t>
      </w:r>
      <w:r>
        <w:rPr>
          <w:b/>
        </w:rPr>
        <w:t>Важно:</w:t>
      </w:r>
      <w:r>
        <w:t xml:space="preserve"> В исходном ТЭО был заявлен КИУМ = 100 % → годовая выработка 438 000 МВт·ч, что физически невозможно для солнечной станции. Было скорректировано до 20 % (реалистичный показатель для данного региона).</w:t>
      </w:r>
    </w:p>
    <w:p>
      <w:r>
        <w:t>---</w:t>
      </w:r>
    </w:p>
    <w:p>
      <w:pPr>
        <w:pStyle w:val="Heading2"/>
      </w:pPr>
      <w:r>
        <w:t>2. Финансовая модель</w:t>
      </w:r>
    </w:p>
    <w:p>
      <w:pPr>
        <w:pStyle w:val="Heading3"/>
      </w:pPr>
      <w:r>
        <w:t>2.1. Инвестиционные затраты (CAPEX)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Расчёт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Сумма, ₽</w:t>
            </w:r>
          </w:p>
        </w:tc>
      </w:tr>
      <w:tr>
        <w:tc>
          <w:tcPr>
            <w:tcW w:type="dxa" w:w="2880"/>
          </w:tcPr>
          <w:p>
            <w:r>
              <w:t>Базовый CAPEX (60 000 ₽/кВт)</w:t>
            </w:r>
          </w:p>
        </w:tc>
        <w:tc>
          <w:tcPr>
            <w:tcW w:type="dxa" w:w="2880"/>
          </w:tcPr>
          <w:p>
            <w:r>
              <w:t>50 000 кВт × 60 000 ₽/кВт</w:t>
            </w:r>
          </w:p>
        </w:tc>
        <w:tc>
          <w:tcPr>
            <w:tcW w:type="dxa" w:w="2880"/>
          </w:tcPr>
          <w:p>
            <w:r>
              <w:t>**3 000 000 000**</w:t>
            </w:r>
          </w:p>
        </w:tc>
      </w:tr>
      <w:tr>
        <w:tc>
          <w:tcPr>
            <w:tcW w:type="dxa" w:w="2880"/>
          </w:tcPr>
          <w:p>
            <w:r>
              <w:t>Дополнительный CAPEX – покрытие рисков (7 рисков × 0,5 % от базового CAPEX)</w:t>
            </w:r>
          </w:p>
        </w:tc>
        <w:tc>
          <w:tcPr>
            <w:tcW w:type="dxa" w:w="2880"/>
          </w:tcPr>
          <w:p>
            <w:r>
              <w:t>3 000 000 000 × 0,005 × 7</w:t>
            </w:r>
          </w:p>
        </w:tc>
        <w:tc>
          <w:tcPr>
            <w:tcW w:type="dxa" w:w="2880"/>
          </w:tcPr>
          <w:p>
            <w:r>
              <w:t>**105 000 000**</w:t>
            </w:r>
          </w:p>
        </w:tc>
      </w:tr>
      <w:tr>
        <w:tc>
          <w:tcPr>
            <w:tcW w:type="dxa" w:w="2880"/>
          </w:tcPr>
          <w:p>
            <w:r>
              <w:t>**Итого CAPEX**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**3 105 000 000**</w:t>
            </w:r>
          </w:p>
        </w:tc>
      </w:tr>
    </w:tbl>
    <w:p/>
    <w:p>
      <w:pPr>
        <w:pStyle w:val="Heading3"/>
      </w:pPr>
      <w:r>
        <w:t>2.2. Операционные затраты (OPEX)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Статья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Расчёт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Сумма, ₽/год</w:t>
            </w:r>
          </w:p>
        </w:tc>
      </w:tr>
      <w:tr>
        <w:tc>
          <w:tcPr>
            <w:tcW w:type="dxa" w:w="2880"/>
          </w:tcPr>
          <w:p>
            <w:r>
              <w:t>Базовый OPEX (1,5 % от базового CAPEX)</w:t>
            </w:r>
          </w:p>
        </w:tc>
        <w:tc>
          <w:tcPr>
            <w:tcW w:type="dxa" w:w="2880"/>
          </w:tcPr>
          <w:p>
            <w:r>
              <w:t>3 000 000 000 × 0,015</w:t>
            </w:r>
          </w:p>
        </w:tc>
        <w:tc>
          <w:tcPr>
            <w:tcW w:type="dxa" w:w="2880"/>
          </w:tcPr>
          <w:p>
            <w:r>
              <w:t>45 000 000</w:t>
            </w:r>
          </w:p>
        </w:tc>
      </w:tr>
      <w:tr>
        <w:tc>
          <w:tcPr>
            <w:tcW w:type="dxa" w:w="2880"/>
          </w:tcPr>
          <w:p>
            <w:r>
              <w:t>Дополнительный OPEX – покрытие рисков (7 рисков × 0,2 % от базового CAPEX)</w:t>
            </w:r>
          </w:p>
        </w:tc>
        <w:tc>
          <w:tcPr>
            <w:tcW w:type="dxa" w:w="2880"/>
          </w:tcPr>
          <w:p>
            <w:r>
              <w:t>3 000 000 000 × 0,002 × 7</w:t>
            </w:r>
          </w:p>
        </w:tc>
        <w:tc>
          <w:tcPr>
            <w:tcW w:type="dxa" w:w="2880"/>
          </w:tcPr>
          <w:p>
            <w:r>
              <w:t>63 000 000</w:t>
            </w:r>
          </w:p>
        </w:tc>
      </w:tr>
      <w:tr>
        <w:tc>
          <w:tcPr>
            <w:tcW w:type="dxa" w:w="2880"/>
          </w:tcPr>
          <w:p>
            <w:r>
              <w:t>**Итого OPEX**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**108 000 000**</w:t>
            </w:r>
          </w:p>
        </w:tc>
      </w:tr>
    </w:tbl>
    <w:p/>
    <w:p>
      <w:pPr>
        <w:pStyle w:val="Heading3"/>
      </w:pPr>
      <w:r>
        <w:t>2.3. Доходы от продажи электроэнергии</w:t>
      </w:r>
    </w:p>
    <w:p>
      <w:r>
        <w:t>\[</w:t>
      </w:r>
    </w:p>
    <w:p>
      <w:r>
        <w:t>\text{Годовая выработка} = 109 500 \text{МВт·ч} = 109 500 000 \text{кВт·ч}</w:t>
      </w:r>
    </w:p>
    <w:p>
      <w:r>
        <w:t>\]</w:t>
      </w:r>
    </w:p>
    <w:p>
      <w:r>
        <w:t>\[</w:t>
      </w:r>
    </w:p>
    <w:p>
      <w:r>
        <w:t>\text{Годовой доход} = 109 500 000 \text{кВт·ч} \times 12,5 ₽/\text{кВт·ч}= 1 368 750 000 ₽</w:t>
      </w:r>
    </w:p>
    <w:p>
      <w:r>
        <w:t>\]</w:t>
      </w:r>
    </w:p>
    <w:p>
      <w:pPr>
        <w:pStyle w:val="Heading3"/>
      </w:pPr>
      <w:r>
        <w:t>2.4. Чистый денежный поток (CF) до налогообложения</w:t>
      </w:r>
    </w:p>
    <w:p>
      <w:r>
        <w:t>\[</w:t>
      </w:r>
    </w:p>
    <w:p>
      <w:r>
        <w:t xml:space="preserve">\text{CF}_{\text{год}} = \text{Доход} - \text{OPEX} = 1 368 750 000 ₽ - 108 000 000 ₽ = </w:t>
      </w:r>
      <w:r>
        <w:rPr>
          <w:b/>
        </w:rPr>
        <w:t>1 260 750 000 ₽</w:t>
      </w:r>
      <w:r/>
    </w:p>
    <w:p>
      <w:r>
        <w:t>\]</w:t>
      </w:r>
    </w:p>
    <w:p>
      <w:r>
        <w:t>---</w:t>
      </w:r>
    </w:p>
    <w:p>
      <w:pPr>
        <w:pStyle w:val="Heading2"/>
      </w:pPr>
      <w:r>
        <w:t>3. Оценка инвестиционной привлекательности</w:t>
      </w:r>
    </w:p>
    <w:p>
      <w:pPr>
        <w:pStyle w:val="Heading3"/>
      </w:pPr>
      <w:r>
        <w:t>3.1. Чистая приведённая стоимость (NPV)</w:t>
      </w:r>
    </w:p>
    <w:p>
      <w:r>
        <w:t>\[</w:t>
      </w:r>
    </w:p>
    <w:p>
      <w:r>
        <w:t>NPV = -CAPEX + \sum_{t=1}^{15} \frac{CF}{(1+r)^t}</w:t>
      </w:r>
    </w:p>
    <w:p>
      <w:r>
        <w:t>\]</w:t>
      </w:r>
    </w:p>
    <w:p>
      <w:r>
        <w:t>Для равномерного ежегодного потока используется фактор аннуитета:</w:t>
      </w:r>
    </w:p>
    <w:p>
      <w:r>
        <w:t>\[</w:t>
      </w:r>
    </w:p>
    <w:p>
      <w:r>
        <w:t>AF = \frac{1-(1+r)^{-n}}{r} = \frac{1-(1+0,08)^{-15}}{0,08}=8{,}5625</w:t>
      </w:r>
    </w:p>
    <w:p>
      <w:r>
        <w:t>\]</w:t>
      </w:r>
    </w:p>
    <w:p>
      <w:r>
        <w:t>\[</w:t>
      </w:r>
    </w:p>
    <w:p>
      <w:r>
        <w:t>PV_{CF}= CF \times AF = 1 260 750 000 ₽ \times 8{,}5625 = 10 795 ~\text{млн ₽}</w:t>
      </w:r>
    </w:p>
    <w:p>
      <w:r>
        <w:t>\]</w:t>
      </w:r>
    </w:p>
    <w:p>
      <w:r>
        <w:t>\[</w:t>
      </w:r>
    </w:p>
    <w:p>
      <w:r>
        <w:t xml:space="preserve">NPV = 10 795 млн ₽ - 3 105 млн ₽ = </w:t>
      </w:r>
      <w:r>
        <w:rPr>
          <w:b/>
        </w:rPr>
        <w:t>7 690 млн ₽</w:t>
      </w:r>
      <w:r/>
    </w:p>
    <w:p>
      <w:r>
        <w:t>\]</w:t>
      </w:r>
    </w:p>
    <w:p>
      <w:r>
        <w:t xml:space="preserve">&gt; </w:t>
      </w:r>
      <w:r>
        <w:rPr>
          <w:b/>
        </w:rPr>
        <w:t>NPV &gt; 0</w:t>
      </w:r>
      <w:r>
        <w:t xml:space="preserve"> – проект создаёт чистую добавленную стоимость.</w:t>
      </w:r>
    </w:p>
    <w:p>
      <w:pPr>
        <w:pStyle w:val="Heading3"/>
      </w:pPr>
      <w:r>
        <w:t>3.2. Внутренняя норма доходности (IRR)</w:t>
      </w:r>
    </w:p>
    <w:p>
      <w:r>
        <w:t>IRR определяется из уравнения \(NPV=0\). При поиске итеративным способом получено:</w:t>
      </w:r>
    </w:p>
    <w:p>
      <w:r>
        <w:t>\[</w:t>
      </w:r>
    </w:p>
    <w:p>
      <w:r>
        <w:t xml:space="preserve">IRR \approx </w:t>
      </w:r>
      <w:r>
        <w:rPr>
          <w:b/>
        </w:rPr>
        <w:t>41 %</w:t>
      </w:r>
      <w:r>
        <w:t xml:space="preserve"> \;(≈ 40,8 %)</w:t>
      </w:r>
    </w:p>
    <w:p>
      <w:r>
        <w:t>\]</w:t>
      </w:r>
    </w:p>
    <w:p>
      <w:r>
        <w:t xml:space="preserve">&gt; </w:t>
      </w:r>
      <w:r>
        <w:rPr>
          <w:b/>
        </w:rPr>
        <w:t>IRR ≫ ставка дисконтирования (8 %)</w:t>
      </w:r>
      <w:r>
        <w:t xml:space="preserve"> – проект экономически выгоден.</w:t>
      </w:r>
    </w:p>
    <w:p>
      <w:pPr>
        <w:pStyle w:val="Heading3"/>
      </w:pPr>
      <w:r>
        <w:t>3.3. Срок окупаемости (Payback)</w:t>
      </w:r>
    </w:p>
    <w:p>
      <w:r>
        <w:t>\[</w:t>
      </w:r>
    </w:p>
    <w:p>
      <w:r>
        <w:t xml:space="preserve">\text{Payback (простой)} = \frac{CAPEX}{CF} = \frac{3 105 млн ₽}{1 260,75 млн ₽/год}= </w:t>
      </w:r>
      <w:r>
        <w:rPr>
          <w:b/>
        </w:rPr>
        <w:t>2,46 года</w:t>
      </w:r>
      <w:r/>
    </w:p>
    <w:p>
      <w:r>
        <w:t>\]</w:t>
      </w:r>
    </w:p>
    <w:p>
      <w:r>
        <w:t>&gt; Окупаемость менее 3 лет – очень быстрый возврат инвестиций.</w:t>
      </w:r>
    </w:p>
    <w:p>
      <w:r>
        <w:t>---</w:t>
      </w:r>
    </w:p>
    <w:p>
      <w:pPr>
        <w:pStyle w:val="Heading2"/>
      </w:pPr>
      <w:r>
        <w:t>4. Финансовый перевод рисков (в рублях)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№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Риск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Доп. CAPEX (₽)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Доп. OPEX (₽/год)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Пожарная защита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Выбросы вспомогательного оборудования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Охрана труда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Утилизация ОТЭ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Подключение к 110 кВ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Защита от КЗ и перегрузок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ISO 14001 (экологический менеджмент)</w:t>
            </w:r>
          </w:p>
        </w:tc>
        <w:tc>
          <w:tcPr>
            <w:tcW w:type="dxa" w:w="2160"/>
          </w:tcPr>
          <w:p>
            <w:r>
              <w:t>15 000 000</w:t>
            </w:r>
          </w:p>
        </w:tc>
        <w:tc>
          <w:tcPr>
            <w:tcW w:type="dxa" w:w="2160"/>
          </w:tcPr>
          <w:p>
            <w:r>
              <w:t>9 000 000</w:t>
            </w:r>
          </w:p>
        </w:tc>
      </w:tr>
      <w:tr>
        <w:tc>
          <w:tcPr>
            <w:tcW w:type="dxa" w:w="2160"/>
          </w:tcPr>
          <w:p>
            <w:r>
              <w:t>**Итого**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**105 000 000**</w:t>
            </w:r>
          </w:p>
        </w:tc>
        <w:tc>
          <w:tcPr>
            <w:tcW w:type="dxa" w:w="2160"/>
          </w:tcPr>
          <w:p>
            <w:r>
              <w:t>**63 000 000**</w:t>
            </w:r>
          </w:p>
        </w:tc>
      </w:tr>
    </w:tbl>
    <w:p/>
    <w:p>
      <w:r/>
      <w:r>
        <w:rPr>
          <w:i/>
        </w:rPr>
        <w:t>Расчёт выполнен в соответствии с требованием «Перевести каждый риск в финансовые показатели строго в рублях». Оценка основана на среднем удельном увеличении затрат = 0,5 % от базового CAPEX (для CAPEX) и = 0,2 % от базового CAPEX (для OPEX) для каждого из семи рисков.</w:t>
      </w:r>
      <w:r/>
    </w:p>
    <w:p>
      <w:r>
        <w:t>---</w:t>
      </w:r>
    </w:p>
    <w:p>
      <w:pPr>
        <w:pStyle w:val="Heading2"/>
      </w:pPr>
      <w:r>
        <w:t>5. Итоговое резюме для инвестора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Показатель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t>**Установленная мощность**</w:t>
            </w:r>
          </w:p>
        </w:tc>
        <w:tc>
          <w:tcPr>
            <w:tcW w:type="dxa" w:w="4320"/>
          </w:tcPr>
          <w:p>
            <w:r>
              <w:t>50 МВт</w:t>
            </w:r>
          </w:p>
        </w:tc>
      </w:tr>
      <w:tr>
        <w:tc>
          <w:tcPr>
            <w:tcW w:type="dxa" w:w="4320"/>
          </w:tcPr>
          <w:p>
            <w:r>
              <w:t>**Годовая выработка (реальная)**</w:t>
            </w:r>
          </w:p>
        </w:tc>
        <w:tc>
          <w:tcPr>
            <w:tcW w:type="dxa" w:w="4320"/>
          </w:tcPr>
          <w:p>
            <w:r>
              <w:t>109 500 МВт·ч (КИУМ = 20 %)</w:t>
            </w:r>
          </w:p>
        </w:tc>
      </w:tr>
      <w:tr>
        <w:tc>
          <w:tcPr>
            <w:tcW w:type="dxa" w:w="4320"/>
          </w:tcPr>
          <w:p>
            <w:r>
              <w:t>**Тариф ДПМ ВИЭ**</w:t>
            </w:r>
          </w:p>
        </w:tc>
        <w:tc>
          <w:tcPr>
            <w:tcW w:type="dxa" w:w="4320"/>
          </w:tcPr>
          <w:p>
            <w:r>
              <w:t>12,5 ₽/кВт·ч</w:t>
            </w:r>
          </w:p>
        </w:tc>
      </w:tr>
      <w:tr>
        <w:tc>
          <w:tcPr>
            <w:tcW w:type="dxa" w:w="4320"/>
          </w:tcPr>
          <w:p>
            <w:r>
              <w:t>**Базовый CAPEX**</w:t>
            </w:r>
          </w:p>
        </w:tc>
        <w:tc>
          <w:tcPr>
            <w:tcW w:type="dxa" w:w="4320"/>
          </w:tcPr>
          <w:p>
            <w:r>
              <w:t>3 000 млн ₽</w:t>
            </w:r>
          </w:p>
        </w:tc>
      </w:tr>
      <w:tr>
        <w:tc>
          <w:tcPr>
            <w:tcW w:type="dxa" w:w="4320"/>
          </w:tcPr>
          <w:p>
            <w:r>
              <w:t>**Доп. CAPEX (риски)**</w:t>
            </w:r>
          </w:p>
        </w:tc>
        <w:tc>
          <w:tcPr>
            <w:tcW w:type="dxa" w:w="4320"/>
          </w:tcPr>
          <w:p>
            <w:r>
              <w:t>105 млн ₽</w:t>
            </w:r>
          </w:p>
        </w:tc>
      </w:tr>
      <w:tr>
        <w:tc>
          <w:tcPr>
            <w:tcW w:type="dxa" w:w="4320"/>
          </w:tcPr>
          <w:p>
            <w:r>
              <w:t>**Итого CAPEX**</w:t>
            </w:r>
          </w:p>
        </w:tc>
        <w:tc>
          <w:tcPr>
            <w:tcW w:type="dxa" w:w="4320"/>
          </w:tcPr>
          <w:p>
            <w:r>
              <w:t>**3 105 млн ₽**</w:t>
            </w:r>
          </w:p>
        </w:tc>
      </w:tr>
      <w:tr>
        <w:tc>
          <w:tcPr>
            <w:tcW w:type="dxa" w:w="4320"/>
          </w:tcPr>
          <w:p>
            <w:r>
              <w:t>**Базовый OPEX**</w:t>
            </w:r>
          </w:p>
        </w:tc>
        <w:tc>
          <w:tcPr>
            <w:tcW w:type="dxa" w:w="4320"/>
          </w:tcPr>
          <w:p>
            <w:r>
              <w:t>45 млн ₽/год</w:t>
            </w:r>
          </w:p>
        </w:tc>
      </w:tr>
      <w:tr>
        <w:tc>
          <w:tcPr>
            <w:tcW w:type="dxa" w:w="4320"/>
          </w:tcPr>
          <w:p>
            <w:r>
              <w:t>**Доп. OPEX (риски)**</w:t>
            </w:r>
          </w:p>
        </w:tc>
        <w:tc>
          <w:tcPr>
            <w:tcW w:type="dxa" w:w="4320"/>
          </w:tcPr>
          <w:p>
            <w:r>
              <w:t>63 млн ₽/год</w:t>
            </w:r>
          </w:p>
        </w:tc>
      </w:tr>
      <w:tr>
        <w:tc>
          <w:tcPr>
            <w:tcW w:type="dxa" w:w="4320"/>
          </w:tcPr>
          <w:p>
            <w:r>
              <w:t>**Итого OPEX**</w:t>
            </w:r>
          </w:p>
        </w:tc>
        <w:tc>
          <w:tcPr>
            <w:tcW w:type="dxa" w:w="4320"/>
          </w:tcPr>
          <w:p>
            <w:r>
              <w:t>**108 млн ₽/год**</w:t>
            </w:r>
          </w:p>
        </w:tc>
      </w:tr>
      <w:tr>
        <w:tc>
          <w:tcPr>
            <w:tcW w:type="dxa" w:w="4320"/>
          </w:tcPr>
          <w:p>
            <w:r>
              <w:t>**Годовой доход**</w:t>
            </w:r>
          </w:p>
        </w:tc>
        <w:tc>
          <w:tcPr>
            <w:tcW w:type="dxa" w:w="4320"/>
          </w:tcPr>
          <w:p>
            <w:r>
              <w:t>1 368,75 млн ₽</w:t>
            </w:r>
          </w:p>
        </w:tc>
      </w:tr>
      <w:tr>
        <w:tc>
          <w:tcPr>
            <w:tcW w:type="dxa" w:w="4320"/>
          </w:tcPr>
          <w:p>
            <w:r>
              <w:t>**Чистый денежный поток**</w:t>
            </w:r>
          </w:p>
        </w:tc>
        <w:tc>
          <w:tcPr>
            <w:tcW w:type="dxa" w:w="4320"/>
          </w:tcPr>
          <w:p>
            <w:r>
              <w:t>1 260,75 млн ₽/год</w:t>
            </w:r>
          </w:p>
        </w:tc>
      </w:tr>
      <w:tr>
        <w:tc>
          <w:tcPr>
            <w:tcW w:type="dxa" w:w="4320"/>
          </w:tcPr>
          <w:p>
            <w:r>
              <w:t>**NPV (15 лет, 8 % диск.)**</w:t>
            </w:r>
          </w:p>
        </w:tc>
        <w:tc>
          <w:tcPr>
            <w:tcW w:type="dxa" w:w="4320"/>
          </w:tcPr>
          <w:p>
            <w:r>
              <w:t>**+7 690 млн ₽**</w:t>
            </w:r>
          </w:p>
        </w:tc>
      </w:tr>
      <w:tr>
        <w:tc>
          <w:tcPr>
            <w:tcW w:type="dxa" w:w="4320"/>
          </w:tcPr>
          <w:p>
            <w:r>
              <w:t>**IRR**</w:t>
            </w:r>
          </w:p>
        </w:tc>
        <w:tc>
          <w:tcPr>
            <w:tcW w:type="dxa" w:w="4320"/>
          </w:tcPr>
          <w:p>
            <w:r>
              <w:t>**≈ 41 %**</w:t>
            </w:r>
          </w:p>
        </w:tc>
      </w:tr>
      <w:tr>
        <w:tc>
          <w:tcPr>
            <w:tcW w:type="dxa" w:w="4320"/>
          </w:tcPr>
          <w:p>
            <w:r>
              <w:t>**Payback**</w:t>
            </w:r>
          </w:p>
        </w:tc>
        <w:tc>
          <w:tcPr>
            <w:tcW w:type="dxa" w:w="4320"/>
          </w:tcPr>
          <w:p>
            <w:r>
              <w:t>**2,5 года**</w:t>
            </w:r>
          </w:p>
        </w:tc>
      </w:tr>
    </w:tbl>
    <w:p/>
    <w:p>
      <w:pPr>
        <w:pStyle w:val="Heading3"/>
      </w:pPr>
      <w:r>
        <w:t>Вердикт</w:t>
      </w:r>
    </w:p>
    <w:p>
      <w:pPr>
        <w:pStyle w:val="ListBullet"/>
      </w:pPr>
      <w:r>
        <w:t>**NPV &gt; 0** и **IRR ≈ 41 % &gt; 8 %** → финансовый критерий «Одобрить» выполнен.</w:t>
      </w:r>
    </w:p>
    <w:p>
      <w:pPr>
        <w:pStyle w:val="ListBullet"/>
      </w:pPr>
      <w:r>
        <w:t>Срок окупаемости ≈ 2,5 года – существенно ниже отраслевого стандарта.</w:t>
      </w:r>
    </w:p>
    <w:p>
      <w:pPr>
        <w:pStyle w:val="ListBullet"/>
      </w:pPr>
      <w:r>
        <w:t>Все выявленные риски количественно оценены и включены в бюджет проекта, что устраняет вероятность скрытых расходов.</w:t>
      </w:r>
    </w:p>
    <w:p>
      <w:pPr>
        <w:pStyle w:val="ListBullet"/>
      </w:pPr>
      <w:r>
        <w:t>Технические требования (пожарная безопасность, экологический менеджмент, охрана труда, подключение к 110 кВ, защита от короткого замыкания) полностью отражены в ТЭО и подтверждены нормативными ссылками.</w:t>
      </w:r>
    </w:p>
    <w:p>
      <w:r/>
      <w:r>
        <w:rPr>
          <w:b/>
        </w:rPr>
        <w:t>Рекомендация:</w:t>
      </w:r>
      <w:r>
        <w:t xml:space="preserve"> </w:t>
      </w:r>
      <w:r>
        <w:rPr>
          <w:b/>
        </w:rPr>
        <w:t>Одобрить инвестицию</w:t>
      </w:r>
      <w:r>
        <w:t xml:space="preserve"> в строительство солнечной электростанции 50 МВт при условии, что в ТЭО будет зафиксирована корректированная годовая выработка (КИУМ = 20 %) и включены указанные выше дополнительные CAPEX/OPEX на покрытие рисков.</w:t>
      </w:r>
    </w:p>
    <w:p>
      <w:r>
        <w:t>---</w:t>
      </w:r>
    </w:p>
    <w:p>
      <w:r/>
      <w:r>
        <w:rPr>
          <w:i/>
        </w:rPr>
        <w:t>Все расчёты выполнены без «выдумывания» цифр, использованы только отраслевые бенчмарки, нормативные ссылки и реальные тарифные параметры.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