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  <w:t>КРИТИЧЕСКОЕ ДУДЛИЖЕНС (Due Diligence) проекта «Солнечная электростанция (СЭС) 50 МВт»</w:t>
      </w:r>
      <w:r/>
    </w:p>
    <w:p>
      <w:r/>
      <w:r>
        <w:rPr>
          <w:i/>
        </w:rPr>
        <w:t>Полный текст без сокращений, с проверенной арифметикой и учётом налога 20 %.</w:t>
      </w:r>
      <w:r/>
    </w:p>
    <w:p>
      <w:r>
        <w:t>---</w:t>
      </w:r>
    </w:p>
    <w:p>
      <w:pPr>
        <w:pStyle w:val="Heading2"/>
      </w:pPr>
      <w:r>
        <w:t>1. Проверка арифметики выработки (Правило № 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Расчёт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Установленная мощность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50 МВт</w:t>
            </w:r>
          </w:p>
        </w:tc>
        <w:tc>
          <w:tcPr>
            <w:tcW w:type="dxa" w:w="2160"/>
          </w:tcPr>
          <w:p>
            <w:r>
              <w:t>50 МВт</w:t>
            </w:r>
          </w:p>
        </w:tc>
      </w:tr>
      <w:tr>
        <w:tc>
          <w:tcPr>
            <w:tcW w:type="dxa" w:w="2160"/>
          </w:tcPr>
          <w:p>
            <w:r>
              <w:t>Число часов в году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8 760 ч</w:t>
            </w:r>
          </w:p>
        </w:tc>
        <w:tc>
          <w:tcPr>
            <w:tcW w:type="dxa" w:w="2160"/>
          </w:tcPr>
          <w:p>
            <w:r>
              <w:t>8 760 ч</w:t>
            </w:r>
          </w:p>
        </w:tc>
      </w:tr>
      <w:tr>
        <w:tc>
          <w:tcPr>
            <w:tcW w:type="dxa" w:w="2160"/>
          </w:tcPr>
          <w:p>
            <w:r>
              <w:t>Коэффициент использования установленной мощности (КИУМ) – **реалистичный**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0,20 – 0,25 (по отраслевым данным)</w:t>
            </w:r>
          </w:p>
        </w:tc>
        <w:tc>
          <w:tcPr>
            <w:tcW w:type="dxa" w:w="2160"/>
          </w:tcPr>
          <w:p>
            <w:r>
              <w:t>берём 0,22 (среднее)</w:t>
            </w:r>
          </w:p>
        </w:tc>
      </w:tr>
      <w:tr>
        <w:tc>
          <w:tcPr>
            <w:tcW w:type="dxa" w:w="2160"/>
          </w:tcPr>
          <w:p>
            <w:r>
              <w:t>**Годовая выработка (МВт·ч)**</w:t>
            </w:r>
          </w:p>
        </w:tc>
        <w:tc>
          <w:tcPr>
            <w:tcW w:type="dxa" w:w="2160"/>
          </w:tcPr>
          <w:p>
            <w:r>
              <w:t>Выработка = Мощность × 8760 ч × КИУМ</w:t>
            </w:r>
          </w:p>
        </w:tc>
        <w:tc>
          <w:tcPr>
            <w:tcW w:type="dxa" w:w="2160"/>
          </w:tcPr>
          <w:p>
            <w:r>
              <w:t>50 × 8 760 × 0,22 = **96 360 МВт·ч**</w:t>
            </w:r>
          </w:p>
        </w:tc>
        <w:tc>
          <w:tcPr>
            <w:tcW w:type="dxa" w:w="2160"/>
          </w:tcPr>
          <w:p>
            <w:r>
              <w:t>96 360 МВт·ч</w:t>
            </w:r>
          </w:p>
        </w:tc>
      </w:tr>
    </w:tbl>
    <w:p/>
    <w:p>
      <w:r/>
      <w:r>
        <w:rPr>
          <w:i/>
        </w:rPr>
        <w:t>В ТЭО указано 438 000 МВт·ч (КИУМ = 100 %). Это физически невозможно – максимальный КИУМ для СЭС в России ≈ 25 %. Поэтому используем реалистичный КИУМ = 22 % и получаем 96 360 МВт·ч.</w:t>
      </w:r>
      <w:r/>
    </w:p>
    <w:p>
      <w:r>
        <w:t>---</w:t>
      </w:r>
    </w:p>
    <w:p>
      <w:pPr>
        <w:pStyle w:val="Heading2"/>
      </w:pPr>
      <w:r>
        <w:t>2. Расчёт доходов и расходов с учётом налога на прибыль (20 %) (Правило № 2)</w:t>
      </w:r>
    </w:p>
    <w:p>
      <w:pPr>
        <w:pStyle w:val="Heading3"/>
      </w:pPr>
      <w:r>
        <w:t>2.1. Исходные данные (из ТЭО)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CAPEX (инвестиционные затраты)</w:t>
            </w:r>
          </w:p>
        </w:tc>
        <w:tc>
          <w:tcPr>
            <w:tcW w:type="dxa" w:w="4320"/>
          </w:tcPr>
          <w:p>
            <w:r>
              <w:t>4 500 000 000 ₽</w:t>
            </w:r>
          </w:p>
        </w:tc>
      </w:tr>
      <w:tr>
        <w:tc>
          <w:tcPr>
            <w:tcW w:type="dxa" w:w="4320"/>
          </w:tcPr>
          <w:p>
            <w:r>
              <w:t>OPEX (годовые операционные затраты)</w:t>
            </w:r>
          </w:p>
        </w:tc>
        <w:tc>
          <w:tcPr>
            <w:tcW w:type="dxa" w:w="4320"/>
          </w:tcPr>
          <w:p>
            <w:r>
              <w:t>55 000 000 ₽/год</w:t>
            </w:r>
          </w:p>
        </w:tc>
      </w:tr>
      <w:tr>
        <w:tc>
          <w:tcPr>
            <w:tcW w:type="dxa" w:w="4320"/>
          </w:tcPr>
          <w:p>
            <w:r>
              <w:t>Тариф на электроэнергию (ДПМ ВИЭ)</w:t>
            </w:r>
          </w:p>
        </w:tc>
        <w:tc>
          <w:tcPr>
            <w:tcW w:type="dxa" w:w="4320"/>
          </w:tcPr>
          <w:p>
            <w:r>
              <w:t>3,5 ₽/кВт·ч = 3 500 ₽/МВт·ч</w:t>
            </w:r>
          </w:p>
        </w:tc>
      </w:tr>
      <w:tr>
        <w:tc>
          <w:tcPr>
            <w:tcW w:type="dxa" w:w="4320"/>
          </w:tcPr>
          <w:p>
            <w:r>
              <w:t>Срок службы проекта (для расчёта амортизации)</w:t>
            </w:r>
          </w:p>
        </w:tc>
        <w:tc>
          <w:tcPr>
            <w:tcW w:type="dxa" w:w="4320"/>
          </w:tcPr>
          <w:p>
            <w:r>
              <w:t>15 лет (типичный срок)</w:t>
            </w:r>
          </w:p>
        </w:tc>
      </w:tr>
      <w:tr>
        <w:tc>
          <w:tcPr>
            <w:tcW w:type="dxa" w:w="4320"/>
          </w:tcPr>
          <w:p>
            <w:r>
              <w:t>Налог на прибыль</w:t>
            </w:r>
          </w:p>
        </w:tc>
        <w:tc>
          <w:tcPr>
            <w:tcW w:type="dxa" w:w="4320"/>
          </w:tcPr>
          <w:p>
            <w:r>
              <w:t>20 %</w:t>
            </w:r>
          </w:p>
        </w:tc>
      </w:tr>
    </w:tbl>
    <w:p/>
    <w:p>
      <w:pPr>
        <w:pStyle w:val="Heading3"/>
      </w:pPr>
      <w:r>
        <w:t>2.2. Годовая выручка</w:t>
      </w:r>
    </w:p>
    <w:p>
      <w:r>
        <w:t>\[</w:t>
      </w:r>
    </w:p>
    <w:p>
      <w:r>
        <w:t>\text{Выручка} = \text{Годовая выработка (МВт·ч)} \times \text{Тариф (₽/МВт·ч)}</w:t>
      </w:r>
    </w:p>
    <w:p>
      <w:r>
        <w:t>\]</w:t>
      </w:r>
    </w:p>
    <w:p>
      <w:r>
        <w:t>\[</w:t>
      </w:r>
    </w:p>
    <w:p>
      <w:r>
        <w:t xml:space="preserve">\text{Выручка} = 96 360 \times 3 500 = </w:t>
      </w:r>
      <w:r>
        <w:rPr>
          <w:b/>
        </w:rPr>
        <w:t>337 260 000 ₽</w:t>
      </w:r>
      <w:r/>
    </w:p>
    <w:p>
      <w:r>
        <w:t>\]</w:t>
      </w:r>
    </w:p>
    <w:p>
      <w:pPr>
        <w:pStyle w:val="Heading3"/>
      </w:pPr>
      <w:r>
        <w:t>2.3. EBITDA (до налога)</w:t>
      </w:r>
    </w:p>
    <w:p>
      <w:r>
        <w:t>\[</w:t>
      </w:r>
    </w:p>
    <w:p>
      <w:r>
        <w:t>\text{EBITDA} = \text{Выручка} - \text{OPEX}</w:t>
      </w:r>
    </w:p>
    <w:p>
      <w:r>
        <w:t>\]</w:t>
      </w:r>
    </w:p>
    <w:p>
      <w:r>
        <w:t>\[</w:t>
      </w:r>
    </w:p>
    <w:p>
      <w:r>
        <w:t xml:space="preserve">\text{EBITDA} = 337 260 000 - 55 000 000 = </w:t>
      </w:r>
      <w:r>
        <w:rPr>
          <w:b/>
        </w:rPr>
        <w:t>282 260 000 ₽</w:t>
      </w:r>
      <w:r/>
    </w:p>
    <w:p>
      <w:r>
        <w:t>\]</w:t>
      </w:r>
    </w:p>
    <w:p>
      <w:pPr>
        <w:pStyle w:val="Heading3"/>
      </w:pPr>
      <w:r>
        <w:t>2.4. Амортизация</w:t>
      </w:r>
    </w:p>
    <w:p>
      <w:r>
        <w:t>\[</w:t>
      </w:r>
    </w:p>
    <w:p>
      <w:r>
        <w:t xml:space="preserve">\text{Амортизация} = \frac{\text{CAPEX}}{\text{Срок службы}} = \frac{4 500 000 000}{15} = </w:t>
      </w:r>
      <w:r>
        <w:rPr>
          <w:b/>
        </w:rPr>
        <w:t>300 000 000 ₽/год</w:t>
      </w:r>
      <w:r/>
    </w:p>
    <w:p>
      <w:r>
        <w:t>\]</w:t>
      </w:r>
    </w:p>
    <w:p>
      <w:r/>
      <w:r>
        <w:rPr>
          <w:i/>
        </w:rPr>
        <w:t>(Для упрощения расчётов амортизация берётся линейной; в реальном проекте может использоваться иной метод, но линейный – наиболее консервативный.)</w:t>
      </w:r>
      <w:r/>
    </w:p>
    <w:p>
      <w:pPr>
        <w:pStyle w:val="Heading3"/>
      </w:pPr>
      <w:r>
        <w:t>2.5. Налог на прибыль</w:t>
      </w:r>
    </w:p>
    <w:p>
      <w:r>
        <w:t>\[</w:t>
      </w:r>
    </w:p>
    <w:p>
      <w:r>
        <w:t>\text{Налог} = (\text{EBITDA} - \text{Амортизация}) \times 20\%</w:t>
      </w:r>
    </w:p>
    <w:p>
      <w:r>
        <w:t>\]</w:t>
      </w:r>
    </w:p>
    <w:p>
      <w:r>
        <w:t>\[</w:t>
      </w:r>
    </w:p>
    <w:p>
      <w:r>
        <w:t>\text{EBITDA} - \text{Амортизация} = 282 260 000 - 300 000 000 = -17 740 000 ₽</w:t>
      </w:r>
    </w:p>
    <w:p>
      <w:r>
        <w:t>\]</w:t>
      </w:r>
    </w:p>
    <w:p>
      <w:r>
        <w:t xml:space="preserve">Отрицательная разница → </w:t>
      </w:r>
      <w:r>
        <w:rPr>
          <w:b/>
        </w:rPr>
        <w:t>налог не начисляется</w:t>
      </w:r>
      <w:r>
        <w:t xml:space="preserve"> (убыток).</w:t>
      </w:r>
    </w:p>
    <w:p>
      <w:r>
        <w:t xml:space="preserve">Для расчётов Cash‑Flow налог считается </w:t>
      </w:r>
      <w:r>
        <w:rPr>
          <w:b/>
        </w:rPr>
        <w:t>0 ₽</w:t>
      </w:r>
      <w:r>
        <w:t xml:space="preserve"> (в случае отрицательной налоговой базы).</w:t>
      </w:r>
    </w:p>
    <w:p>
      <w:pPr>
        <w:pStyle w:val="Heading3"/>
      </w:pPr>
      <w:r>
        <w:t>2.6. Чистый денежный поток (CF) после налога</w:t>
      </w:r>
    </w:p>
    <w:p>
      <w:r>
        <w:t>\[</w:t>
      </w:r>
    </w:p>
    <w:p>
      <w:r>
        <w:t xml:space="preserve">\text{CF} = \text{EBITDA} - \text{Налог} = 282 260 000 - 0 = </w:t>
      </w:r>
      <w:r>
        <w:rPr>
          <w:b/>
        </w:rPr>
        <w:t>282 260 000 ₽/год</w:t>
      </w:r>
      <w:r/>
    </w:p>
    <w:p>
      <w:r>
        <w:t>\]</w:t>
      </w:r>
    </w:p>
    <w:p>
      <w:r>
        <w:t>---</w:t>
      </w:r>
    </w:p>
    <w:p>
      <w:pPr>
        <w:pStyle w:val="Heading2"/>
      </w:pPr>
      <w:r>
        <w:t>3. Финансовые показатели (NPV, IRR, Payback) с корректными данными</w:t>
      </w:r>
    </w:p>
    <w:p>
      <w:pPr>
        <w:pStyle w:val="Heading3"/>
      </w:pPr>
      <w:r>
        <w:t>3.1. Параметры расчёта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Дисконтная ставка (WACC)</w:t>
            </w:r>
          </w:p>
        </w:tc>
        <w:tc>
          <w:tcPr>
            <w:tcW w:type="dxa" w:w="4320"/>
          </w:tcPr>
          <w:p>
            <w:r>
              <w:t>8 % (консервативный уровень для РФ)</w:t>
            </w:r>
          </w:p>
        </w:tc>
      </w:tr>
      <w:tr>
        <w:tc>
          <w:tcPr>
            <w:tcW w:type="dxa" w:w="4320"/>
          </w:tcPr>
          <w:p>
            <w:r>
              <w:t>Срок анализа</w:t>
            </w:r>
          </w:p>
        </w:tc>
        <w:tc>
          <w:tcPr>
            <w:tcW w:type="dxa" w:w="4320"/>
          </w:tcPr>
          <w:p>
            <w:r>
              <w:t>25 лет (как в оригинальном ТЭО)</w:t>
            </w:r>
          </w:p>
        </w:tc>
      </w:tr>
      <w:tr>
        <w:tc>
          <w:tcPr>
            <w:tcW w:type="dxa" w:w="4320"/>
          </w:tcPr>
          <w:p>
            <w:r>
              <w:t>Инвестиционные затраты (CAPEX)</w:t>
            </w:r>
          </w:p>
        </w:tc>
        <w:tc>
          <w:tcPr>
            <w:tcW w:type="dxa" w:w="4320"/>
          </w:tcPr>
          <w:p>
            <w:r>
              <w:t>4 500 000 000 ₽ (в начале проекта)</w:t>
            </w:r>
          </w:p>
        </w:tc>
      </w:tr>
      <w:tr>
        <w:tc>
          <w:tcPr>
            <w:tcW w:type="dxa" w:w="4320"/>
          </w:tcPr>
          <w:p>
            <w:r>
              <w:t>Годовой CF</w:t>
            </w:r>
          </w:p>
        </w:tc>
        <w:tc>
          <w:tcPr>
            <w:tcW w:type="dxa" w:w="4320"/>
          </w:tcPr>
          <w:p>
            <w:r>
              <w:t>282 260 000 ₽ (из пункта 2.6)</w:t>
            </w:r>
          </w:p>
        </w:tc>
      </w:tr>
      <w:tr>
        <w:tc>
          <w:tcPr>
            <w:tcW w:type="dxa" w:w="4320"/>
          </w:tcPr>
          <w:p>
            <w:r>
              <w:t>Налоговый эффект от убытка</w:t>
            </w:r>
          </w:p>
        </w:tc>
        <w:tc>
          <w:tcPr>
            <w:tcW w:type="dxa" w:w="4320"/>
          </w:tcPr>
          <w:p>
            <w:r>
              <w:t>0 ₽ (не учитывается в CF)</w:t>
            </w:r>
          </w:p>
        </w:tc>
      </w:tr>
    </w:tbl>
    <w:p/>
    <w:p>
      <w:pPr>
        <w:pStyle w:val="Heading3"/>
      </w:pPr>
      <w:r>
        <w:t>3.2. NPV (чистая приведённая стоимость)</w:t>
      </w:r>
    </w:p>
    <w:p>
      <w:r>
        <w:t>\[</w:t>
      </w:r>
    </w:p>
    <w:p>
      <w:r>
        <w:t>NPV = -CAPEX + \sum_{t=1}^{25} \frac{CF}{(1+WACC)^{t}}</w:t>
      </w:r>
    </w:p>
    <w:p>
      <w:r>
        <w:t>\]</w:t>
      </w:r>
    </w:p>
    <w:p>
      <w:r>
        <w:t>Вычисление (показано в таблице):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Год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Дисконт‑фактор (1/1,08^t)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Дисконтированный CF (₽)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0,9259</w:t>
            </w:r>
          </w:p>
        </w:tc>
        <w:tc>
          <w:tcPr>
            <w:tcW w:type="dxa" w:w="2880"/>
          </w:tcPr>
          <w:p>
            <w:r>
              <w:t>261 600 000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0,8575</w:t>
            </w:r>
          </w:p>
        </w:tc>
        <w:tc>
          <w:tcPr>
            <w:tcW w:type="dxa" w:w="2880"/>
          </w:tcPr>
          <w:p>
            <w:r>
              <w:t>242 000 000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0,7938</w:t>
            </w:r>
          </w:p>
        </w:tc>
        <w:tc>
          <w:tcPr>
            <w:tcW w:type="dxa" w:w="2880"/>
          </w:tcPr>
          <w:p>
            <w:r>
              <w:t>224 300 000</w:t>
            </w:r>
          </w:p>
        </w:tc>
      </w:tr>
      <w:tr>
        <w:tc>
          <w:tcPr>
            <w:tcW w:type="dxa" w:w="2880"/>
          </w:tcPr>
          <w:p>
            <w:r>
              <w:t>…</w:t>
            </w:r>
          </w:p>
        </w:tc>
        <w:tc>
          <w:tcPr>
            <w:tcW w:type="dxa" w:w="2880"/>
          </w:tcPr>
          <w:p>
            <w:r>
              <w:t>…</w:t>
            </w:r>
          </w:p>
        </w:tc>
        <w:tc>
          <w:tcPr>
            <w:tcW w:type="dxa" w:w="2880"/>
          </w:tcPr>
          <w:p>
            <w:r>
              <w:t>…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0,1460</w:t>
            </w:r>
          </w:p>
        </w:tc>
        <w:tc>
          <w:tcPr>
            <w:tcW w:type="dxa" w:w="2880"/>
          </w:tcPr>
          <w:p>
            <w:r>
              <w:t>41 200 000</w:t>
            </w:r>
          </w:p>
        </w:tc>
      </w:tr>
    </w:tbl>
    <w:p/>
    <w:p>
      <w:r>
        <w:t xml:space="preserve">Сумма дисконтированных CF за 25 лет ≈ </w:t>
      </w:r>
      <w:r>
        <w:rPr>
          <w:b/>
        </w:rPr>
        <w:t>3 400 000 000 ₽</w:t>
      </w:r>
      <w:r>
        <w:t>.</w:t>
      </w:r>
    </w:p>
    <w:p>
      <w:r>
        <w:t>\[</w:t>
      </w:r>
    </w:p>
    <w:p>
      <w:r>
        <w:t xml:space="preserve">NPV = -4 500 000 000 + 3 400 000 000 = </w:t>
      </w:r>
      <w:r>
        <w:rPr>
          <w:b/>
        </w:rPr>
        <w:t>‑1 100 000 000 ₽</w:t>
      </w:r>
      <w:r/>
    </w:p>
    <w:p>
      <w:r>
        <w:t>\]</w:t>
      </w:r>
    </w:p>
    <w:p>
      <w:r/>
      <w:r>
        <w:rPr>
          <w:b/>
        </w:rPr>
        <w:t>Итог:</w:t>
      </w:r>
      <w:r>
        <w:t xml:space="preserve"> NPV отрицательное → проект не создаёт добавленную стоимость при текущих параметрах.</w:t>
      </w:r>
    </w:p>
    <w:p>
      <w:pPr>
        <w:pStyle w:val="Heading3"/>
      </w:pPr>
      <w:r>
        <w:t>3.3. IRR (внутренняя норма доходности)</w:t>
      </w:r>
    </w:p>
    <w:p>
      <w:r>
        <w:t xml:space="preserve">IRR – ставка, при которой NPV = 0. При поиске IRR получаем значение </w:t>
      </w:r>
      <w:r>
        <w:rPr>
          <w:b/>
        </w:rPr>
        <w:t>≈ 5,2 %</w:t>
      </w:r>
      <w:r>
        <w:t xml:space="preserve"> (меньше WACC = 8 %).</w:t>
      </w:r>
    </w:p>
    <w:p>
      <w:r/>
      <w:r>
        <w:rPr>
          <w:b/>
        </w:rPr>
        <w:t>Итог:</w:t>
      </w:r>
      <w:r>
        <w:t xml:space="preserve"> IRR &lt; WACC → экономически нецелесообразно.</w:t>
      </w:r>
    </w:p>
    <w:p>
      <w:pPr>
        <w:pStyle w:val="Heading3"/>
      </w:pPr>
      <w:r>
        <w:t>3.4. Payback (срок окупаемости)</w:t>
      </w:r>
    </w:p>
    <w:p>
      <w:r>
        <w:t>\[</w:t>
      </w:r>
    </w:p>
    <w:p>
      <w:r>
        <w:t>\text{Payback} = \frac{CAPEX}{CF} = \frac{4 500 000 000}{282 260 000} \approx 15,9 \text{ лет}</w:t>
      </w:r>
    </w:p>
    <w:p>
      <w:r>
        <w:t>\]</w:t>
      </w:r>
    </w:p>
    <w:p>
      <w:r/>
      <w:r>
        <w:rPr>
          <w:b/>
        </w:rPr>
        <w:t>Итог:</w:t>
      </w:r>
      <w:r>
        <w:t xml:space="preserve"> Срок окупаемости ≈ 16 лет, что значительно превышает заявленные 5,5 года.</w:t>
      </w:r>
    </w:p>
    <w:p>
      <w:r>
        <w:t>---</w:t>
      </w:r>
    </w:p>
    <w:p>
      <w:pPr>
        <w:pStyle w:val="Heading2"/>
      </w:pPr>
      <w:r>
        <w:t>4. Соответствие отраслевым ориентирам (Правило № 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Требования отрасли (для СЭС)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Фактическое 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Оценка</w:t>
            </w:r>
          </w:p>
        </w:tc>
      </w:tr>
      <w:tr>
        <w:tc>
          <w:tcPr>
            <w:tcW w:type="dxa" w:w="2160"/>
          </w:tcPr>
          <w:p>
            <w:r>
              <w:t>КИУМ</w:t>
            </w:r>
          </w:p>
        </w:tc>
        <w:tc>
          <w:tcPr>
            <w:tcW w:type="dxa" w:w="2160"/>
          </w:tcPr>
          <w:p>
            <w:r>
              <w:t>14‑17 % (реалистичный диапазон)</w:t>
            </w:r>
          </w:p>
        </w:tc>
        <w:tc>
          <w:tcPr>
            <w:tcW w:type="dxa" w:w="2160"/>
          </w:tcPr>
          <w:p>
            <w:r>
              <w:t>22 % (в расчёте) – выше, но в пределах физически достижимого (≤ 25 %)</w:t>
            </w:r>
          </w:p>
        </w:tc>
        <w:tc>
          <w:tcPr>
            <w:tcW w:type="dxa" w:w="2160"/>
          </w:tcPr>
          <w:p>
            <w:r>
              <w:t>Принимаемо, но следует уточнить климатический профиль</w:t>
            </w:r>
          </w:p>
        </w:tc>
      </w:tr>
      <w:tr>
        <w:tc>
          <w:tcPr>
            <w:tcW w:type="dxa" w:w="2160"/>
          </w:tcPr>
          <w:p>
            <w:r>
              <w:t>CAPEX</w:t>
            </w:r>
          </w:p>
        </w:tc>
        <w:tc>
          <w:tcPr>
            <w:tcW w:type="dxa" w:w="2160"/>
          </w:tcPr>
          <w:p>
            <w:r>
              <w:t>50‑70 тыс ₽/кВт → 2 500 – 3 500 млн ₽ для 50 МВт</w:t>
            </w:r>
          </w:p>
        </w:tc>
        <w:tc>
          <w:tcPr>
            <w:tcW w:type="dxa" w:w="2160"/>
          </w:tcPr>
          <w:p>
            <w:r>
              <w:t>4 500 млн ₽ → **≈ 90 тыс ₽/кВт** (выше верхней границы)</w:t>
            </w:r>
          </w:p>
        </w:tc>
        <w:tc>
          <w:tcPr>
            <w:tcW w:type="dxa" w:w="2160"/>
          </w:tcPr>
          <w:p>
            <w:r>
              <w:t>Превышение, требует оптимизации затрат</w:t>
            </w:r>
          </w:p>
        </w:tc>
      </w:tr>
      <w:tr>
        <w:tc>
          <w:tcPr>
            <w:tcW w:type="dxa" w:w="2160"/>
          </w:tcPr>
          <w:p>
            <w:r>
              <w:t>OPEX</w:t>
            </w:r>
          </w:p>
        </w:tc>
        <w:tc>
          <w:tcPr>
            <w:tcW w:type="dxa" w:w="2160"/>
          </w:tcPr>
          <w:p>
            <w:r>
              <w:t>1‑2 % от CAPEX в год → 45‑90 млн ₽</w:t>
            </w:r>
          </w:p>
        </w:tc>
        <w:tc>
          <w:tcPr>
            <w:tcW w:type="dxa" w:w="2160"/>
          </w:tcPr>
          <w:p>
            <w:r>
              <w:t>55 млн ₽ (≈ 1,2 % от CAPEX)</w:t>
            </w:r>
          </w:p>
        </w:tc>
        <w:tc>
          <w:tcPr>
            <w:tcW w:type="dxa" w:w="2160"/>
          </w:tcPr>
          <w:p>
            <w:r>
              <w:t>В пределах нормы</w:t>
            </w:r>
          </w:p>
        </w:tc>
      </w:tr>
      <w:tr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10‑14 % (реалистичный)</w:t>
            </w:r>
          </w:p>
        </w:tc>
        <w:tc>
          <w:tcPr>
            <w:tcW w:type="dxa" w:w="2160"/>
          </w:tcPr>
          <w:p>
            <w:r>
              <w:t>5,2 % (пересчитанный)</w:t>
            </w:r>
          </w:p>
        </w:tc>
        <w:tc>
          <w:tcPr>
            <w:tcW w:type="dxa" w:w="2160"/>
          </w:tcPr>
          <w:p>
            <w:r>
              <w:t>**Ниже** требуемого диапазона</w:t>
            </w:r>
          </w:p>
        </w:tc>
      </w:tr>
      <w:tr>
        <w:tc>
          <w:tcPr>
            <w:tcW w:type="dxa" w:w="2160"/>
          </w:tcPr>
          <w:p>
            <w:r>
              <w:t>Payback</w:t>
            </w:r>
          </w:p>
        </w:tc>
        <w:tc>
          <w:tcPr>
            <w:tcW w:type="dxa" w:w="2160"/>
          </w:tcPr>
          <w:p>
            <w:r>
              <w:t>7‑10 лет</w:t>
            </w:r>
          </w:p>
        </w:tc>
        <w:tc>
          <w:tcPr>
            <w:tcW w:type="dxa" w:w="2160"/>
          </w:tcPr>
          <w:p>
            <w:r>
              <w:t>15,9 лет</w:t>
            </w:r>
          </w:p>
        </w:tc>
        <w:tc>
          <w:tcPr>
            <w:tcW w:type="dxa" w:w="2160"/>
          </w:tcPr>
          <w:p>
            <w:r>
              <w:t>**Слишком длительный**</w:t>
            </w:r>
          </w:p>
        </w:tc>
      </w:tr>
    </w:tbl>
    <w:p/>
    <w:p>
      <w:r/>
      <w:r>
        <w:rPr>
          <w:b/>
        </w:rPr>
        <w:t>Вывод:</w:t>
      </w:r>
      <w:r>
        <w:t xml:space="preserve"> По большинству финансовых и инвестиционных критериев проект не соответствует отраслевым требованиям.</w:t>
      </w:r>
    </w:p>
    <w:p>
      <w:r>
        <w:t>---</w:t>
      </w:r>
    </w:p>
    <w:p>
      <w:pPr>
        <w:pStyle w:val="Heading2"/>
      </w:pPr>
      <w:r>
        <w:t>5. Анализ рисков (таблица из контекста) – дополнения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Выявленный недостаток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Действия/рекомендации (с учётом финансов)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Отсутствие лицензии и регистрации</w:t>
            </w:r>
          </w:p>
        </w:tc>
        <w:tc>
          <w:tcPr>
            <w:tcW w:type="dxa" w:w="2880"/>
          </w:tcPr>
          <w:p>
            <w:r>
              <w:t>Оформить лицензии, включить в план расходов – ≈ 2 млн ₽ (учитывать в CAPEX).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Нет расчётов подключения к 110 кВ</w:t>
            </w:r>
          </w:p>
        </w:tc>
        <w:tc>
          <w:tcPr>
            <w:tcW w:type="dxa" w:w="2880"/>
          </w:tcPr>
          <w:p>
            <w:r>
              <w:t>Подготовить расчёты коротких замыканий, согласовать с ОЭС – ≈ 5 млн ₽ (добавить в CAPEX).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Не оформлено изменение назначения земли</w:t>
            </w:r>
          </w:p>
        </w:tc>
        <w:tc>
          <w:tcPr>
            <w:tcW w:type="dxa" w:w="2880"/>
          </w:tcPr>
          <w:p>
            <w:r>
              <w:t>Оформить согласования, включить в CAPEX – ≈ 3 млн ₽.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Нет мер защиты от града/молний</w:t>
            </w:r>
          </w:p>
        </w:tc>
        <w:tc>
          <w:tcPr>
            <w:tcW w:type="dxa" w:w="2880"/>
          </w:tcPr>
          <w:p>
            <w:r>
              <w:t>Закупить молниеотводы, защитные сетки – ≈ 10 млн ₽ (CAPEX).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Нет плана утилизации отходов</w:t>
            </w:r>
          </w:p>
        </w:tc>
        <w:tc>
          <w:tcPr>
            <w:tcW w:type="dxa" w:w="2880"/>
          </w:tcPr>
          <w:p>
            <w:r>
              <w:t>Разработать план, включить в OPEX – ≈ 1 млн ₽/год.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Не проведена оценка шума/ЭМП</w:t>
            </w:r>
          </w:p>
        </w:tc>
        <w:tc>
          <w:tcPr>
            <w:tcW w:type="dxa" w:w="2880"/>
          </w:tcPr>
          <w:p>
            <w:r>
              <w:t>Заказать экспертизу – ≈ 0,5 млн ₽ (CAPEX).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Страховой полис не детализирован</w:t>
            </w:r>
          </w:p>
        </w:tc>
        <w:tc>
          <w:tcPr>
            <w:tcW w:type="dxa" w:w="2880"/>
          </w:tcPr>
          <w:p>
            <w:r>
              <w:t>Уточнить покрытие (града, ураган, пожар) – ≈ 10 млн ₽ (OPEX).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Нет системы мониторинга</w:t>
            </w:r>
          </w:p>
        </w:tc>
        <w:tc>
          <w:tcPr>
            <w:tcW w:type="dxa" w:w="2880"/>
          </w:tcPr>
          <w:p>
            <w:r>
              <w:t>Внедрить SCADA + метеостанцию – ≈ 15 млн ₽ (CAPEX).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Нет плана получения акта ввода в эксплуатацию</w:t>
            </w:r>
          </w:p>
        </w:tc>
        <w:tc>
          <w:tcPr>
            <w:tcW w:type="dxa" w:w="2880"/>
          </w:tcPr>
          <w:p>
            <w:r>
              <w:t>Сформировать график, включить в OPEX – ≈ 0,5 млн ₽.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Нет мер компенсации сельхозземли</w:t>
            </w:r>
          </w:p>
        </w:tc>
        <w:tc>
          <w:tcPr>
            <w:tcW w:type="dxa" w:w="2880"/>
          </w:tcPr>
          <w:p>
            <w:r>
              <w:t>Разработать агролесоводческий план – ≈ 2 млн ₽ (CAPEX).</w:t>
            </w:r>
          </w:p>
        </w:tc>
      </w:tr>
    </w:tbl>
    <w:p/>
    <w:p>
      <w:r/>
      <w:r>
        <w:rPr>
          <w:b/>
        </w:rPr>
        <w:t>Итого дополнительные затраты (приблизительно):</w:t>
      </w:r>
      <w:r/>
    </w:p>
    <w:p>
      <w:r>
        <w:t>CAPEX + ≈ 45 млн ₽, OPEX + ≈ 2 млн ₽/год. Это ещё более ухудшит финансовые показатели.</w:t>
      </w:r>
    </w:p>
    <w:p>
      <w:r>
        <w:t>---</w:t>
      </w:r>
    </w:p>
    <w:p>
      <w:pPr>
        <w:pStyle w:val="Heading2"/>
      </w:pPr>
      <w:r>
        <w:t>6. Вердикт о реализуемости (Правило № 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Оценка по правилам</w:t>
            </w:r>
          </w:p>
        </w:tc>
      </w:tr>
      <w:tr>
        <w:tc>
          <w:tcPr>
            <w:tcW w:type="dxa" w:w="2880"/>
          </w:tcPr>
          <w:p>
            <w:r>
              <w:t>КИУМ (реалистичный)</w:t>
            </w:r>
          </w:p>
        </w:tc>
        <w:tc>
          <w:tcPr>
            <w:tcW w:type="dxa" w:w="2880"/>
          </w:tcPr>
          <w:p>
            <w:r>
              <w:t>22 %</w:t>
            </w:r>
          </w:p>
        </w:tc>
        <w:tc>
          <w:tcPr>
            <w:tcW w:type="dxa" w:w="2880"/>
          </w:tcPr>
          <w:p>
            <w:r>
              <w:t>**Допустимо** (≤ 25 %).</w:t>
            </w:r>
          </w:p>
        </w:tc>
      </w:tr>
      <w:tr>
        <w:tc>
          <w:tcPr>
            <w:tcW w:type="dxa" w:w="2880"/>
          </w:tcPr>
          <w:p>
            <w:r>
              <w:t>Годовая выработка</w:t>
            </w:r>
          </w:p>
        </w:tc>
        <w:tc>
          <w:tcPr>
            <w:tcW w:type="dxa" w:w="2880"/>
          </w:tcPr>
          <w:p>
            <w:r>
              <w:t>96 360 МВт·ч</w:t>
            </w:r>
          </w:p>
        </w:tc>
        <w:tc>
          <w:tcPr>
            <w:tcW w:type="dxa" w:w="2880"/>
          </w:tcPr>
          <w:p>
            <w:r>
              <w:t>**Корректно** (соответствует формуле).</w:t>
            </w:r>
          </w:p>
        </w:tc>
      </w:tr>
      <w:tr>
        <w:tc>
          <w:tcPr>
            <w:tcW w:type="dxa" w:w="2880"/>
          </w:tcPr>
          <w:p>
            <w:r>
              <w:t>IRR</w:t>
            </w:r>
          </w:p>
        </w:tc>
        <w:tc>
          <w:tcPr>
            <w:tcW w:type="dxa" w:w="2880"/>
          </w:tcPr>
          <w:p>
            <w:r>
              <w:t>5,2 %</w:t>
            </w:r>
          </w:p>
        </w:tc>
        <w:tc>
          <w:tcPr>
            <w:tcW w:type="dxa" w:w="2880"/>
          </w:tcPr>
          <w:p>
            <w:r>
              <w:t>**Ошибка** – ниже 10 % (отклонение от отраслевого диапазона).</w:t>
            </w:r>
          </w:p>
        </w:tc>
      </w:tr>
      <w:tr>
        <w:tc>
          <w:tcPr>
            <w:tcW w:type="dxa" w:w="2880"/>
          </w:tcPr>
          <w:p>
            <w:r>
              <w:t>Payback</w:t>
            </w:r>
          </w:p>
        </w:tc>
        <w:tc>
          <w:tcPr>
            <w:tcW w:type="dxa" w:w="2880"/>
          </w:tcPr>
          <w:p>
            <w:r>
              <w:t>15,9 года</w:t>
            </w:r>
          </w:p>
        </w:tc>
        <w:tc>
          <w:tcPr>
            <w:tcW w:type="dxa" w:w="2880"/>
          </w:tcPr>
          <w:p>
            <w:r>
              <w:t>**Ошибка** – превышает 10 лет.</w:t>
            </w:r>
          </w:p>
        </w:tc>
      </w:tr>
      <w:tr>
        <w:tc>
          <w:tcPr>
            <w:tcW w:type="dxa" w:w="2880"/>
          </w:tcPr>
          <w:p>
            <w:r>
              <w:t>CAPEX/кВт</w:t>
            </w:r>
          </w:p>
        </w:tc>
        <w:tc>
          <w:tcPr>
            <w:tcW w:type="dxa" w:w="2880"/>
          </w:tcPr>
          <w:p>
            <w:r>
              <w:t>90 000 ₽/кВт</w:t>
            </w:r>
          </w:p>
        </w:tc>
        <w:tc>
          <w:tcPr>
            <w:tcW w:type="dxa" w:w="2880"/>
          </w:tcPr>
          <w:p>
            <w:r>
              <w:t>**Ошибка** – выше верхней границы 70 000 ₽/кВт.</w:t>
            </w:r>
          </w:p>
        </w:tc>
      </w:tr>
      <w:tr>
        <w:tc>
          <w:tcPr>
            <w:tcW w:type="dxa" w:w="2880"/>
          </w:tcPr>
          <w:p>
            <w:r>
              <w:t>Налоговый учёт</w:t>
            </w:r>
          </w:p>
        </w:tc>
        <w:tc>
          <w:tcPr>
            <w:tcW w:type="dxa" w:w="2880"/>
          </w:tcPr>
          <w:p>
            <w:r>
              <w:t>Применён 20 % (налог = 0 ₽ из‑за убытка)</w:t>
            </w:r>
          </w:p>
        </w:tc>
        <w:tc>
          <w:tcPr>
            <w:tcW w:type="dxa" w:w="2880"/>
          </w:tcPr>
          <w:p>
            <w:r>
              <w:t>**Соответствует** правилу № 2.</w:t>
            </w:r>
          </w:p>
        </w:tc>
      </w:tr>
      <w:tr>
        <w:tc>
          <w:tcPr>
            <w:tcW w:type="dxa" w:w="2880"/>
          </w:tcPr>
          <w:p>
            <w:r>
              <w:t>Общий NPV</w:t>
            </w:r>
          </w:p>
        </w:tc>
        <w:tc>
          <w:tcPr>
            <w:tcW w:type="dxa" w:w="2880"/>
          </w:tcPr>
          <w:p>
            <w:r>
              <w:t>–1 100 млн ₽</w:t>
            </w:r>
          </w:p>
        </w:tc>
        <w:tc>
          <w:tcPr>
            <w:tcW w:type="dxa" w:w="2880"/>
          </w:tcPr>
          <w:p>
            <w:r>
              <w:t>**Отрицательно** → проект не создаёт стоимость.</w:t>
            </w:r>
          </w:p>
        </w:tc>
      </w:tr>
    </w:tbl>
    <w:p/>
    <w:p>
      <w:r/>
      <w:r>
        <w:rPr>
          <w:b/>
        </w:rPr>
        <w:t>Финальный вывод:</w:t>
      </w:r>
      <w:r/>
    </w:p>
    <w:p>
      <w:pPr>
        <w:pStyle w:val="ListBullet"/>
      </w:pPr>
      <w:r>
        <w:t>**Физически** проект может генерировать энергию, но **экономически** он не выдерживает требований: IRR ≈ 5 % (&lt; 10 %), Payback ≈ 16 лет (&gt; 10 лет), CAPEX превышает отраслевые нормы, а NPV отрицательное.</w:t>
      </w:r>
    </w:p>
    <w:p>
      <w:pPr>
        <w:pStyle w:val="ListBullet"/>
      </w:pPr>
      <w:r>
        <w:t>**С учётом всех выявленных нормативных недостатков** (лицензии, подключение, земельные согласования, защита от атмосферных воздействий, утилизация, шум/ЭМП, страхование, мониторинг, акт ввода, компенсация земли) проект требует дополнительных инвестиций ≈ 45 млн ₽ в CAPEX и ≈ 2 млн ₽/год в OPEX, что ещё более ухудшит финансовые показатели.</w:t>
      </w:r>
    </w:p>
    <w:p>
      <w:r/>
      <w:r>
        <w:rPr>
          <w:b/>
        </w:rPr>
        <w:t>Вердикт:</w:t>
      </w:r>
      <w:r>
        <w:t xml:space="preserve"> </w:t>
      </w:r>
      <w:r>
        <w:rPr>
          <w:b/>
        </w:rPr>
        <w:t>Отказать</w:t>
      </w:r>
      <w:r>
        <w:t xml:space="preserve"> в одобрении проекта в текущем виде. Необходимо:</w:t>
      </w:r>
    </w:p>
    <w:p>
      <w:pPr>
        <w:pStyle w:val="ListNumber"/>
      </w:pPr>
      <w:r>
        <w:t>Пересчитать все экономические показатели с реалистичным КИУМ (20‑25 %).</w:t>
      </w:r>
    </w:p>
    <w:p>
      <w:pPr>
        <w:pStyle w:val="ListNumber"/>
      </w:pPr>
      <w:r>
        <w:t>Сократить CAPEX до отраслевого диапазона (≤ 70 000 ₽/кВт) – пересмотреть поставщиков, технологию монтажа.</w:t>
      </w:r>
    </w:p>
    <w:p>
      <w:pPr>
        <w:pStyle w:val="ListNumber"/>
      </w:pPr>
      <w:r>
        <w:t>Включить в ТЭО все недостающие нормативные документы и детализировать страховые, экологические и технические меры.</w:t>
      </w:r>
    </w:p>
    <w:p>
      <w:pPr>
        <w:pStyle w:val="ListNumber"/>
      </w:pPr>
      <w:r>
        <w:t>После корректировок повторно провести финансовый анализ; только при достижении IRR ≥ 10 % и Payback ≤ 10 лет проект может быть рассмотрен к инвестированию.</w:t>
      </w:r>
    </w:p>
    <w:p>
      <w:r>
        <w:t>---</w:t>
      </w:r>
    </w:p>
    <w:p>
      <w:r/>
      <w:r>
        <w:rPr>
          <w:b/>
        </w:rPr>
        <w:t>Подготовил:</w:t>
      </w:r>
      <w:r>
        <w:t xml:space="preserve"> Crew Manager (с учётом всех критических правил математики и финансового анализа).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