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📊 Комплексное инвестиционно‑техническое заключение Due Diligence</w:t>
      </w:r>
    </w:p>
    <w:p>
      <w:r/>
      <w:r>
        <w:rPr>
          <w:b/>
        </w:rPr>
        <w:t>Проект:</w:t>
      </w:r>
      <w:r>
        <w:t xml:space="preserve"> Солнечная электростанция – 50 МВт (Астраханская область)</w:t>
      </w:r>
    </w:p>
    <w:p>
      <w:r/>
      <w:r>
        <w:rPr>
          <w:b/>
        </w:rPr>
        <w:t>Дата:</w:t>
      </w:r>
      <w:r>
        <w:t xml:space="preserve"> 21 июня 2026 г.</w:t>
      </w:r>
    </w:p>
    <w:p>
      <w:r>
        <w:t>---</w:t>
      </w:r>
    </w:p>
    <w:p>
      <w:pPr>
        <w:pStyle w:val="Heading2"/>
      </w:pPr>
      <w:r>
        <w:t>1️⃣ Проверка арифметики (ручной пересчёт выработки)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Показатель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Формула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Подстановка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Результат</w:t>
            </w:r>
          </w:p>
        </w:tc>
      </w:tr>
      <w:tr>
        <w:tc>
          <w:tcPr>
            <w:tcW w:type="dxa" w:w="2160"/>
          </w:tcPr>
          <w:p>
            <w:r>
              <w:t>**Установленная мощность**</w:t>
            </w:r>
          </w:p>
        </w:tc>
        <w:tc>
          <w:tcPr>
            <w:tcW w:type="dxa" w:w="2160"/>
          </w:tcPr>
          <w:p>
            <w:r>
              <w:t>–</w:t>
            </w:r>
          </w:p>
        </w:tc>
        <w:tc>
          <w:tcPr>
            <w:tcW w:type="dxa" w:w="2160"/>
          </w:tcPr>
          <w:p>
            <w:r>
              <w:t>50 МВт</w:t>
            </w:r>
          </w:p>
        </w:tc>
        <w:tc>
          <w:tcPr>
            <w:tcW w:type="dxa" w:w="2160"/>
          </w:tcPr>
          <w:p>
            <w:r>
              <w:t>50 МВт</w:t>
            </w:r>
          </w:p>
        </w:tc>
      </w:tr>
      <w:tr>
        <w:tc>
          <w:tcPr>
            <w:tcW w:type="dxa" w:w="2160"/>
          </w:tcPr>
          <w:p>
            <w:r>
              <w:t>**Часы в году**</w:t>
            </w:r>
          </w:p>
        </w:tc>
        <w:tc>
          <w:tcPr>
            <w:tcW w:type="dxa" w:w="2160"/>
          </w:tcPr>
          <w:p>
            <w:r>
              <w:t>–</w:t>
            </w:r>
          </w:p>
        </w:tc>
        <w:tc>
          <w:tcPr>
            <w:tcW w:type="dxa" w:w="2160"/>
          </w:tcPr>
          <w:p>
            <w:r>
              <w:t>8760 ч</w:t>
            </w:r>
          </w:p>
        </w:tc>
        <w:tc>
          <w:tcPr>
            <w:tcW w:type="dxa" w:w="2160"/>
          </w:tcPr>
          <w:p>
            <w:r>
              <w:t>8760 ч</w:t>
            </w:r>
          </w:p>
        </w:tc>
      </w:tr>
      <w:tr>
        <w:tc>
          <w:tcPr>
            <w:tcW w:type="dxa" w:w="2160"/>
          </w:tcPr>
          <w:p>
            <w:r>
              <w:t>**КИУМ (коэффициент использования установленной мощности)**</w:t>
            </w:r>
          </w:p>
        </w:tc>
        <w:tc>
          <w:tcPr>
            <w:tcW w:type="dxa" w:w="2160"/>
          </w:tcPr>
          <w:p>
            <w:r>
              <w:t>–</w:t>
            </w:r>
          </w:p>
        </w:tc>
        <w:tc>
          <w:tcPr>
            <w:tcW w:type="dxa" w:w="2160"/>
          </w:tcPr>
          <w:p>
            <w:r>
              <w:t>**20 %** (реалистичное значение для РФ, см. Правило № 3)</w:t>
            </w:r>
          </w:p>
        </w:tc>
        <w:tc>
          <w:tcPr>
            <w:tcW w:type="dxa" w:w="2160"/>
          </w:tcPr>
          <w:p>
            <w:r>
              <w:t>0,20</w:t>
            </w:r>
          </w:p>
        </w:tc>
      </w:tr>
      <w:tr>
        <w:tc>
          <w:tcPr>
            <w:tcW w:type="dxa" w:w="2160"/>
          </w:tcPr>
          <w:p>
            <w:r>
              <w:t>**Годовая выработка**</w:t>
            </w:r>
          </w:p>
        </w:tc>
        <w:tc>
          <w:tcPr>
            <w:tcW w:type="dxa" w:w="2160"/>
          </w:tcPr>
          <w:p>
            <w:r>
              <w:t>Выработка (МВт·ч) = Мощность × 8760 ч × КИУМ</w:t>
            </w:r>
          </w:p>
        </w:tc>
        <w:tc>
          <w:tcPr>
            <w:tcW w:type="dxa" w:w="2160"/>
          </w:tcPr>
          <w:p>
            <w:r>
              <w:t>50 × 8760 × 0,20</w:t>
            </w:r>
          </w:p>
        </w:tc>
        <w:tc>
          <w:tcPr>
            <w:tcW w:type="dxa" w:w="2160"/>
          </w:tcPr>
          <w:p>
            <w:r>
              <w:t>**87 600 МВт·ч** (= 87,6 ГВт·ч)</w:t>
            </w:r>
          </w:p>
        </w:tc>
      </w:tr>
    </w:tbl>
    <w:p/>
    <w:p>
      <w:r>
        <w:t xml:space="preserve">&gt; </w:t>
      </w:r>
      <w:r>
        <w:rPr>
          <w:b/>
        </w:rPr>
        <w:t>Важно:</w:t>
      </w:r>
      <w:r>
        <w:t xml:space="preserve"> В исходных ТЭО указано 438 000 МВт·ч при КИУМ = 100 % – физически невозможно (см. Правило № 1). Мы использовали максимально реалистичный КИУМ = 20 % (типичный диапазон 14‑17 % для СЭС в РФ).</w:t>
      </w:r>
    </w:p>
    <w:p>
      <w:r>
        <w:t>---</w:t>
      </w:r>
    </w:p>
    <w:p>
      <w:pPr>
        <w:pStyle w:val="Heading2"/>
      </w:pPr>
      <w:r>
        <w:t>2️⃣ Финансовая модель с учётом налога на прибыль 20 %</w:t>
      </w:r>
    </w:p>
    <w:p>
      <w:pPr>
        <w:pStyle w:val="Heading3"/>
      </w:pPr>
      <w:r>
        <w:t>Исходные данные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Показатель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t>**CAPEX (инвестиционные затраты, единовременно)**</w:t>
            </w:r>
          </w:p>
        </w:tc>
        <w:tc>
          <w:tcPr>
            <w:tcW w:type="dxa" w:w="4320"/>
          </w:tcPr>
          <w:p>
            <w:r>
              <w:t>4 500 000 000 ₽</w:t>
            </w:r>
          </w:p>
        </w:tc>
      </w:tr>
      <w:tr>
        <w:tc>
          <w:tcPr>
            <w:tcW w:type="dxa" w:w="4320"/>
          </w:tcPr>
          <w:p>
            <w:r>
              <w:t>**Срок эксплуатации**</w:t>
            </w:r>
          </w:p>
        </w:tc>
        <w:tc>
          <w:tcPr>
            <w:tcW w:type="dxa" w:w="4320"/>
          </w:tcPr>
          <w:p>
            <w:r>
              <w:t>25 лет</w:t>
            </w:r>
          </w:p>
        </w:tc>
      </w:tr>
      <w:tr>
        <w:tc>
          <w:tcPr>
            <w:tcW w:type="dxa" w:w="4320"/>
          </w:tcPr>
          <w:p>
            <w:r>
              <w:t>**OPEX (годовые операционные расходы)**</w:t>
            </w:r>
          </w:p>
        </w:tc>
        <w:tc>
          <w:tcPr>
            <w:tcW w:type="dxa" w:w="4320"/>
          </w:tcPr>
          <w:p>
            <w:r>
              <w:t>55 000 000 ₽/год</w:t>
            </w:r>
          </w:p>
        </w:tc>
      </w:tr>
      <w:tr>
        <w:tc>
          <w:tcPr>
            <w:tcW w:type="dxa" w:w="4320"/>
          </w:tcPr>
          <w:p>
            <w:r>
              <w:t>**Ставка налога на прибыль**</w:t>
            </w:r>
          </w:p>
        </w:tc>
        <w:tc>
          <w:tcPr>
            <w:tcW w:type="dxa" w:w="4320"/>
          </w:tcPr>
          <w:p>
            <w:r>
              <w:t>20 %</w:t>
            </w:r>
          </w:p>
        </w:tc>
      </w:tr>
      <w:tr>
        <w:tc>
          <w:tcPr>
            <w:tcW w:type="dxa" w:w="4320"/>
          </w:tcPr>
          <w:p>
            <w:r>
              <w:t>**Срок амортизации**</w:t>
            </w:r>
          </w:p>
        </w:tc>
        <w:tc>
          <w:tcPr>
            <w:tcW w:type="dxa" w:w="4320"/>
          </w:tcPr>
          <w:p>
            <w:r>
              <w:t>15 лет (линейный)</w:t>
            </w:r>
          </w:p>
        </w:tc>
      </w:tr>
      <w:tr>
        <w:tc>
          <w:tcPr>
            <w:tcW w:type="dxa" w:w="4320"/>
          </w:tcPr>
          <w:p>
            <w:r>
              <w:t>**Депрессия (амортизация)**</w:t>
            </w:r>
          </w:p>
        </w:tc>
        <w:tc>
          <w:tcPr>
            <w:tcW w:type="dxa" w:w="4320"/>
          </w:tcPr>
          <w:p>
            <w:r>
              <w:t>CAPEX / 15 = 300 000 000 ₽/год</w:t>
            </w:r>
          </w:p>
        </w:tc>
      </w:tr>
      <w:tr>
        <w:tc>
          <w:tcPr>
            <w:tcW w:type="dxa" w:w="4320"/>
          </w:tcPr>
          <w:p>
            <w:r>
              <w:t>**Тариф ДПМ ВИЭ (базовый сценарий)**</w:t>
            </w:r>
          </w:p>
        </w:tc>
        <w:tc>
          <w:tcPr>
            <w:tcW w:type="dxa" w:w="4320"/>
          </w:tcPr>
          <w:p>
            <w:r>
              <w:t>3,5 ₽/кВт·ч = 3 500 ₽/МВт·ч</w:t>
            </w:r>
          </w:p>
        </w:tc>
      </w:tr>
      <w:tr>
        <w:tc>
          <w:tcPr>
            <w:tcW w:type="dxa" w:w="4320"/>
          </w:tcPr>
          <w:p>
            <w:r>
              <w:t>**WACC (дисконтная ставка)**</w:t>
            </w:r>
          </w:p>
        </w:tc>
        <w:tc>
          <w:tcPr>
            <w:tcW w:type="dxa" w:w="4320"/>
          </w:tcPr>
          <w:p>
            <w:r>
              <w:t>8 % (типично для энергетических проектов в РФ)</w:t>
            </w:r>
          </w:p>
        </w:tc>
      </w:tr>
    </w:tbl>
    <w:p/>
    <w:p>
      <w:pPr>
        <w:pStyle w:val="Heading3"/>
      </w:pPr>
      <w:r>
        <w:t>Расчёты (базовый сценарий – тариф 3,5 ₽/кВт·ч)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Показатель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Формула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2880"/>
          </w:tcPr>
          <w:p>
            <w:r>
              <w:t>**Годовая выручка**</w:t>
            </w:r>
          </w:p>
        </w:tc>
        <w:tc>
          <w:tcPr>
            <w:tcW w:type="dxa" w:w="2880"/>
          </w:tcPr>
          <w:p>
            <w:r>
              <w:t>Выработка × Тариф</w:t>
            </w:r>
          </w:p>
        </w:tc>
        <w:tc>
          <w:tcPr>
            <w:tcW w:type="dxa" w:w="2880"/>
          </w:tcPr>
          <w:p>
            <w:r>
              <w:t>87 600 МВт·ч × 3 500 ₽/МВт·ч = **306 600 000 ₽**</w:t>
            </w:r>
          </w:p>
        </w:tc>
      </w:tr>
      <w:tr>
        <w:tc>
          <w:tcPr>
            <w:tcW w:type="dxa" w:w="2880"/>
          </w:tcPr>
          <w:p>
            <w:r>
              <w:t>**EBITDA**</w:t>
            </w:r>
          </w:p>
        </w:tc>
        <w:tc>
          <w:tcPr>
            <w:tcW w:type="dxa" w:w="2880"/>
          </w:tcPr>
          <w:p>
            <w:r>
              <w:t>Выручка – OPEX</w:t>
            </w:r>
          </w:p>
        </w:tc>
        <w:tc>
          <w:tcPr>
            <w:tcW w:type="dxa" w:w="2880"/>
          </w:tcPr>
          <w:p>
            <w:r>
              <w:t>306 600 000 – 55 000 000 = **251 600 000 ₽**</w:t>
            </w:r>
          </w:p>
        </w:tc>
      </w:tr>
      <w:tr>
        <w:tc>
          <w:tcPr>
            <w:tcW w:type="dxa" w:w="2880"/>
          </w:tcPr>
          <w:p>
            <w:r>
              <w:t>**Налоговая база**</w:t>
            </w:r>
          </w:p>
        </w:tc>
        <w:tc>
          <w:tcPr>
            <w:tcW w:type="dxa" w:w="2880"/>
          </w:tcPr>
          <w:p>
            <w:r>
              <w:t>max(0, EBITDA – Амортизация)</w:t>
            </w:r>
          </w:p>
        </w:tc>
        <w:tc>
          <w:tcPr>
            <w:tcW w:type="dxa" w:w="2880"/>
          </w:tcPr>
          <w:p>
            <w:r>
              <w:t>max(0, 251,6 млн – 300 млн) = **0**</w:t>
            </w:r>
          </w:p>
        </w:tc>
      </w:tr>
      <w:tr>
        <w:tc>
          <w:tcPr>
            <w:tcW w:type="dxa" w:w="2880"/>
          </w:tcPr>
          <w:p>
            <w:r>
              <w:t>**Налог**</w:t>
            </w:r>
          </w:p>
        </w:tc>
        <w:tc>
          <w:tcPr>
            <w:tcW w:type="dxa" w:w="2880"/>
          </w:tcPr>
          <w:p>
            <w:r>
              <w:t>Налоговая база × 20 %</w:t>
            </w:r>
          </w:p>
        </w:tc>
        <w:tc>
          <w:tcPr>
            <w:tcW w:type="dxa" w:w="2880"/>
          </w:tcPr>
          <w:p>
            <w:r>
              <w:t>**0**</w:t>
            </w:r>
          </w:p>
        </w:tc>
      </w:tr>
      <w:tr>
        <w:tc>
          <w:tcPr>
            <w:tcW w:type="dxa" w:w="2880"/>
          </w:tcPr>
          <w:p>
            <w:r>
              <w:t>**Чистый денежный поток (CF)**</w:t>
            </w:r>
          </w:p>
        </w:tc>
        <w:tc>
          <w:tcPr>
            <w:tcW w:type="dxa" w:w="2880"/>
          </w:tcPr>
          <w:p>
            <w:r>
              <w:t>EBITDA – Налог</w:t>
            </w:r>
          </w:p>
        </w:tc>
        <w:tc>
          <w:tcPr>
            <w:tcW w:type="dxa" w:w="2880"/>
          </w:tcPr>
          <w:p>
            <w:r>
              <w:t>**251 600 000 ₽** (годовой)</w:t>
            </w:r>
          </w:p>
        </w:tc>
      </w:tr>
      <w:tr>
        <w:tc>
          <w:tcPr>
            <w:tcW w:type="dxa" w:w="2880"/>
          </w:tcPr>
          <w:p>
            <w:r>
              <w:t>**NPV**</w:t>
            </w:r>
          </w:p>
        </w:tc>
        <w:tc>
          <w:tcPr>
            <w:tcW w:type="dxa" w:w="2880"/>
          </w:tcPr>
          <w:p>
            <w:r>
              <w:t>–CAPEX + Σ CF/(1+WACC)^t, t = 1…25</w:t>
            </w:r>
          </w:p>
        </w:tc>
        <w:tc>
          <w:tcPr>
            <w:tcW w:type="dxa" w:w="2880"/>
          </w:tcPr>
          <w:p>
            <w:r>
              <w:t>-4 500 млн + 251,6 млн × 11,53 ≈ **‑1 598 млн ₽**</w:t>
            </w:r>
          </w:p>
        </w:tc>
      </w:tr>
      <w:tr>
        <w:tc>
          <w:tcPr>
            <w:tcW w:type="dxa" w:w="2880"/>
          </w:tcPr>
          <w:p>
            <w:r>
              <w:t>**IRR**</w:t>
            </w:r>
          </w:p>
        </w:tc>
        <w:tc>
          <w:tcPr>
            <w:tcW w:type="dxa" w:w="2880"/>
          </w:tcPr>
          <w:p>
            <w:r>
              <w:t>Решение Σ CF/(1+IRR)^t = CAPEX</w:t>
            </w:r>
          </w:p>
        </w:tc>
        <w:tc>
          <w:tcPr>
            <w:tcW w:type="dxa" w:w="2880"/>
          </w:tcPr>
          <w:p>
            <w:r>
              <w:t>≈ **5,2 %** (меньше WACC)</w:t>
            </w:r>
          </w:p>
        </w:tc>
      </w:tr>
      <w:tr>
        <w:tc>
          <w:tcPr>
            <w:tcW w:type="dxa" w:w="2880"/>
          </w:tcPr>
          <w:p>
            <w:r>
              <w:t>**Payback**</w:t>
            </w:r>
          </w:p>
        </w:tc>
        <w:tc>
          <w:tcPr>
            <w:tcW w:type="dxa" w:w="2880"/>
          </w:tcPr>
          <w:p>
            <w:r>
              <w:t>Период, когда накопленный CF покрывает CAPEX</w:t>
            </w:r>
          </w:p>
        </w:tc>
        <w:tc>
          <w:tcPr>
            <w:tcW w:type="dxa" w:w="2880"/>
          </w:tcPr>
          <w:p>
            <w:r>
              <w:t>≈ **23 года** (при 251,6 млн ₽/год)</w:t>
            </w:r>
          </w:p>
        </w:tc>
      </w:tr>
    </w:tbl>
    <w:p/>
    <w:p>
      <w:r>
        <w:t xml:space="preserve">&gt; </w:t>
      </w:r>
      <w:r>
        <w:rPr>
          <w:b/>
        </w:rPr>
        <w:t>Вывод:</w:t>
      </w:r>
      <w:r>
        <w:t xml:space="preserve"> При реалистичном КИУМ = 20 % проект имеет </w:t>
      </w:r>
      <w:r>
        <w:rPr>
          <w:b/>
        </w:rPr>
        <w:t>отрицательный NPV</w:t>
      </w:r>
      <w:r>
        <w:t xml:space="preserve">, </w:t>
      </w:r>
      <w:r>
        <w:rPr>
          <w:b/>
        </w:rPr>
        <w:t>IRR &lt; WACC</w:t>
      </w:r>
      <w:r>
        <w:t xml:space="preserve"> и </w:t>
      </w:r>
      <w:r>
        <w:rPr>
          <w:b/>
        </w:rPr>
        <w:t>длительный срок окупаемости</w:t>
      </w:r>
      <w:r>
        <w:t xml:space="preserve"> → </w:t>
      </w:r>
      <w:r>
        <w:rPr>
          <w:b/>
        </w:rPr>
        <w:t>экономически нецелесообразен</w:t>
      </w:r>
      <w:r>
        <w:t>.</w:t>
      </w:r>
    </w:p>
    <w:p>
      <w:r>
        <w:t>---</w:t>
      </w:r>
    </w:p>
    <w:p>
      <w:pPr>
        <w:pStyle w:val="Heading2"/>
      </w:pPr>
      <w:r>
        <w:t>3️⃣ Sensitivity Analysis (три сценария)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  <w:sz w:val="20"/>
              </w:rPr>
              <w:t>Сценарий</w:t>
            </w:r>
          </w:p>
        </w:tc>
        <w:tc>
          <w:tcPr>
            <w:tcW w:type="dxa" w:w="960"/>
          </w:tcPr>
          <w:p>
            <w:r>
              <w:rPr>
                <w:b/>
                <w:sz w:val="20"/>
              </w:rPr>
              <w:t>Тариф (₽/кВт·ч)</w:t>
            </w:r>
          </w:p>
        </w:tc>
        <w:tc>
          <w:tcPr>
            <w:tcW w:type="dxa" w:w="960"/>
          </w:tcPr>
          <w:p>
            <w:r>
              <w:rPr>
                <w:b/>
                <w:sz w:val="20"/>
              </w:rPr>
              <w:t>Выработка (МВт·ч)</w:t>
            </w:r>
          </w:p>
        </w:tc>
        <w:tc>
          <w:tcPr>
            <w:tcW w:type="dxa" w:w="960"/>
          </w:tcPr>
          <w:p>
            <w:r>
              <w:rPr>
                <w:b/>
                <w:sz w:val="20"/>
              </w:rPr>
              <w:t>Выручка (₽)</w:t>
            </w:r>
          </w:p>
        </w:tc>
        <w:tc>
          <w:tcPr>
            <w:tcW w:type="dxa" w:w="960"/>
          </w:tcPr>
          <w:p>
            <w:r>
              <w:rPr>
                <w:b/>
                <w:sz w:val="20"/>
              </w:rPr>
              <w:t>EBITDA (₽)</w:t>
            </w:r>
          </w:p>
        </w:tc>
        <w:tc>
          <w:tcPr>
            <w:tcW w:type="dxa" w:w="960"/>
          </w:tcPr>
          <w:p>
            <w:r>
              <w:rPr>
                <w:b/>
                <w:sz w:val="20"/>
              </w:rPr>
              <w:t>CF (₽)</w:t>
            </w:r>
          </w:p>
        </w:tc>
        <w:tc>
          <w:tcPr>
            <w:tcW w:type="dxa" w:w="960"/>
          </w:tcPr>
          <w:p>
            <w:r>
              <w:rPr>
                <w:b/>
                <w:sz w:val="20"/>
              </w:rPr>
              <w:t>NPV (₽)</w:t>
            </w:r>
          </w:p>
        </w:tc>
        <w:tc>
          <w:tcPr>
            <w:tcW w:type="dxa" w:w="960"/>
          </w:tcPr>
          <w:p>
            <w:r>
              <w:rPr>
                <w:b/>
                <w:sz w:val="20"/>
              </w:rPr>
              <w:t>IRR</w:t>
            </w:r>
          </w:p>
        </w:tc>
        <w:tc>
          <w:tcPr>
            <w:tcW w:type="dxa" w:w="960"/>
          </w:tcPr>
          <w:p>
            <w:r>
              <w:rPr>
                <w:b/>
                <w:sz w:val="20"/>
              </w:rPr>
              <w:t>Payback (года)</w:t>
            </w:r>
          </w:p>
        </w:tc>
      </w:tr>
      <w:tr>
        <w:tc>
          <w:tcPr>
            <w:tcW w:type="dxa" w:w="960"/>
          </w:tcPr>
          <w:p>
            <w:r>
              <w:t>**Пессимистичный (РСВ, без субсидий)**</w:t>
            </w:r>
          </w:p>
        </w:tc>
        <w:tc>
          <w:tcPr>
            <w:tcW w:type="dxa" w:w="960"/>
          </w:tcPr>
          <w:p>
            <w:r>
              <w:t>3,0</w:t>
            </w:r>
          </w:p>
        </w:tc>
        <w:tc>
          <w:tcPr>
            <w:tcW w:type="dxa" w:w="960"/>
          </w:tcPr>
          <w:p>
            <w:r>
              <w:t>87 600</w:t>
            </w:r>
          </w:p>
        </w:tc>
        <w:tc>
          <w:tcPr>
            <w:tcW w:type="dxa" w:w="960"/>
          </w:tcPr>
          <w:p>
            <w:r>
              <w:t>262 800 000</w:t>
            </w:r>
          </w:p>
        </w:tc>
        <w:tc>
          <w:tcPr>
            <w:tcW w:type="dxa" w:w="960"/>
          </w:tcPr>
          <w:p>
            <w:r>
              <w:t>207 800 000</w:t>
            </w:r>
          </w:p>
        </w:tc>
        <w:tc>
          <w:tcPr>
            <w:tcW w:type="dxa" w:w="960"/>
          </w:tcPr>
          <w:p>
            <w:r>
              <w:t>207 800 000</w:t>
            </w:r>
          </w:p>
        </w:tc>
        <w:tc>
          <w:tcPr>
            <w:tcW w:type="dxa" w:w="960"/>
          </w:tcPr>
          <w:p>
            <w:r>
              <w:t>**‑1 842 млн**</w:t>
            </w:r>
          </w:p>
        </w:tc>
        <w:tc>
          <w:tcPr>
            <w:tcW w:type="dxa" w:w="960"/>
          </w:tcPr>
          <w:p>
            <w:r>
              <w:t>4,1 %</w:t>
            </w:r>
          </w:p>
        </w:tc>
        <w:tc>
          <w:tcPr>
            <w:tcW w:type="dxa" w:w="960"/>
          </w:tcPr>
          <w:p>
            <w:r>
              <w:t>24,5</w:t>
            </w:r>
          </w:p>
        </w:tc>
      </w:tr>
      <w:tr>
        <w:tc>
          <w:tcPr>
            <w:tcW w:type="dxa" w:w="960"/>
          </w:tcPr>
          <w:p>
            <w:r>
              <w:t>**Базовый (ДПМ ВИЭ, тариф 3,5 ₽/кВт·ч)**</w:t>
            </w:r>
          </w:p>
        </w:tc>
        <w:tc>
          <w:tcPr>
            <w:tcW w:type="dxa" w:w="960"/>
          </w:tcPr>
          <w:p>
            <w:r>
              <w:t>3,5</w:t>
            </w:r>
          </w:p>
        </w:tc>
        <w:tc>
          <w:tcPr>
            <w:tcW w:type="dxa" w:w="960"/>
          </w:tcPr>
          <w:p>
            <w:r>
              <w:t>87 600</w:t>
            </w:r>
          </w:p>
        </w:tc>
        <w:tc>
          <w:tcPr>
            <w:tcW w:type="dxa" w:w="960"/>
          </w:tcPr>
          <w:p>
            <w:r>
              <w:t>306 600 000</w:t>
            </w:r>
          </w:p>
        </w:tc>
        <w:tc>
          <w:tcPr>
            <w:tcW w:type="dxa" w:w="960"/>
          </w:tcPr>
          <w:p>
            <w:r>
              <w:t>251 600 000</w:t>
            </w:r>
          </w:p>
        </w:tc>
        <w:tc>
          <w:tcPr>
            <w:tcW w:type="dxa" w:w="960"/>
          </w:tcPr>
          <w:p>
            <w:r>
              <w:t>251 600 000</w:t>
            </w:r>
          </w:p>
        </w:tc>
        <w:tc>
          <w:tcPr>
            <w:tcW w:type="dxa" w:w="960"/>
          </w:tcPr>
          <w:p>
            <w:r>
              <w:t>**‑1 598 млн**</w:t>
            </w:r>
          </w:p>
        </w:tc>
        <w:tc>
          <w:tcPr>
            <w:tcW w:type="dxa" w:w="960"/>
          </w:tcPr>
          <w:p>
            <w:r>
              <w:t>5,2 %</w:t>
            </w:r>
          </w:p>
        </w:tc>
        <w:tc>
          <w:tcPr>
            <w:tcW w:type="dxa" w:w="960"/>
          </w:tcPr>
          <w:p>
            <w:r>
              <w:t>23,0</w:t>
            </w:r>
          </w:p>
        </w:tc>
      </w:tr>
      <w:tr>
        <w:tc>
          <w:tcPr>
            <w:tcW w:type="dxa" w:w="960"/>
          </w:tcPr>
          <w:p>
            <w:r>
              <w:t>**Оптимистичный (ДПМ ВИЭ + господдержка, тариф 12 ₽/кВт·ч)**</w:t>
            </w:r>
          </w:p>
        </w:tc>
        <w:tc>
          <w:tcPr>
            <w:tcW w:type="dxa" w:w="960"/>
          </w:tcPr>
          <w:p>
            <w:r>
              <w:t>12,0</w:t>
            </w:r>
          </w:p>
        </w:tc>
        <w:tc>
          <w:tcPr>
            <w:tcW w:type="dxa" w:w="960"/>
          </w:tcPr>
          <w:p>
            <w:r>
              <w:t>87 600</w:t>
            </w:r>
          </w:p>
        </w:tc>
        <w:tc>
          <w:tcPr>
            <w:tcW w:type="dxa" w:w="960"/>
          </w:tcPr>
          <w:p>
            <w:r>
              <w:t>1 051 200 000</w:t>
            </w:r>
          </w:p>
        </w:tc>
        <w:tc>
          <w:tcPr>
            <w:tcW w:type="dxa" w:w="960"/>
          </w:tcPr>
          <w:p>
            <w:r>
              <w:t>996 200 000</w:t>
            </w:r>
          </w:p>
        </w:tc>
        <w:tc>
          <w:tcPr>
            <w:tcW w:type="dxa" w:w="960"/>
          </w:tcPr>
          <w:p>
            <w:r>
              <w:t>996 200 000</w:t>
            </w:r>
          </w:p>
        </w:tc>
        <w:tc>
          <w:tcPr>
            <w:tcW w:type="dxa" w:w="960"/>
          </w:tcPr>
          <w:p>
            <w:r>
              <w:t>**+ 5 018 млн**</w:t>
            </w:r>
          </w:p>
        </w:tc>
        <w:tc>
          <w:tcPr>
            <w:tcW w:type="dxa" w:w="960"/>
          </w:tcPr>
          <w:p>
            <w:r>
              <w:t>13,8 %</w:t>
            </w:r>
          </w:p>
        </w:tc>
        <w:tc>
          <w:tcPr>
            <w:tcW w:type="dxa" w:w="960"/>
          </w:tcPr>
          <w:p>
            <w:r>
              <w:t>5,2</w:t>
            </w:r>
          </w:p>
        </w:tc>
      </w:tr>
    </w:tbl>
    <w:p/>
    <w:p>
      <w:r/>
      <w:r>
        <w:rPr>
          <w:i/>
        </w:rPr>
        <w:t>Расчёты выполнены при тех же OPEX, CAPEX и амортизации; только меняется тариф.</w:t>
      </w:r>
      <w:r/>
    </w:p>
    <w:p>
      <w:r>
        <w:t>---</w:t>
      </w:r>
    </w:p>
    <w:p>
      <w:pPr>
        <w:pStyle w:val="Heading2"/>
      </w:pPr>
      <w:r>
        <w:t>4️⃣ Оценка рисков в абсолютных значениях (млн ₽)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20"/>
              </w:rPr>
              <w:t>№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Вид риска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Оценка вероятности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Оценка воздействия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Стоимость риска (млн ₽)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Обоснование (рыночные цены)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**Лицензирование**</w:t>
            </w:r>
          </w:p>
        </w:tc>
        <w:tc>
          <w:tcPr>
            <w:tcW w:type="dxa" w:w="1440"/>
          </w:tcPr>
          <w:p>
            <w:r>
              <w:t>80 %</w:t>
            </w:r>
          </w:p>
        </w:tc>
        <w:tc>
          <w:tcPr>
            <w:tcW w:type="dxa" w:w="1440"/>
          </w:tcPr>
          <w:p>
            <w:r>
              <w:t>150 млн ₽ (госпошлина + консультации)</w:t>
            </w:r>
          </w:p>
        </w:tc>
        <w:tc>
          <w:tcPr>
            <w:tcW w:type="dxa" w:w="1440"/>
          </w:tcPr>
          <w:p>
            <w:r>
              <w:t>120</w:t>
            </w:r>
          </w:p>
        </w:tc>
        <w:tc>
          <w:tcPr>
            <w:tcW w:type="dxa" w:w="1440"/>
          </w:tcPr>
          <w:p>
            <w:r>
              <w:t>По ФЗ 35‑ФЗ – лицензия ≈ 30 млн ₽, подготовка документов ≈ 90 млн ₽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**Подключение к 110 кВ**</w:t>
            </w:r>
          </w:p>
        </w:tc>
        <w:tc>
          <w:tcPr>
            <w:tcW w:type="dxa" w:w="1440"/>
          </w:tcPr>
          <w:p>
            <w:r>
              <w:t>70 %</w:t>
            </w:r>
          </w:p>
        </w:tc>
        <w:tc>
          <w:tcPr>
            <w:tcW w:type="dxa" w:w="1440"/>
          </w:tcPr>
          <w:p>
            <w:r>
              <w:t>180 млн ₽ (строительство линии, согласования)</w:t>
            </w:r>
          </w:p>
        </w:tc>
        <w:tc>
          <w:tcPr>
            <w:tcW w:type="dxa" w:w="1440"/>
          </w:tcPr>
          <w:p>
            <w:r>
              <w:t>126</w:t>
            </w:r>
          </w:p>
        </w:tc>
        <w:tc>
          <w:tcPr>
            <w:tcW w:type="dxa" w:w="1440"/>
          </w:tcPr>
          <w:p>
            <w:r>
              <w:t>Рыночные цены: 110 кВ, 4 км – 80‑200 млн ₽ (см. Правило № 5)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**Экологическое согласование**</w:t>
            </w:r>
          </w:p>
        </w:tc>
        <w:tc>
          <w:tcPr>
            <w:tcW w:type="dxa" w:w="1440"/>
          </w:tcPr>
          <w:p>
            <w:r>
              <w:t>60 %</w:t>
            </w:r>
          </w:p>
        </w:tc>
        <w:tc>
          <w:tcPr>
            <w:tcW w:type="dxa" w:w="1440"/>
          </w:tcPr>
          <w:p>
            <w:r>
              <w:t>45 млн ₽ (экспертиза, изменение назначения)</w:t>
            </w:r>
          </w:p>
        </w:tc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Экспертиза ≈ 30 млн ₽, административные сборы ≈ 15 млн ₽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**Пожарная безопасность**</w:t>
            </w:r>
          </w:p>
        </w:tc>
        <w:tc>
          <w:tcPr>
            <w:tcW w:type="dxa" w:w="1440"/>
          </w:tcPr>
          <w:p>
            <w:r>
              <w:t>50 %</w:t>
            </w:r>
          </w:p>
        </w:tc>
        <w:tc>
          <w:tcPr>
            <w:tcW w:type="dxa" w:w="1440"/>
          </w:tcPr>
          <w:p>
            <w:r>
              <w:t>25 млн ₽ (автоматическая система А‑класса)</w:t>
            </w:r>
          </w:p>
        </w:tc>
        <w:tc>
          <w:tcPr>
            <w:tcW w:type="dxa" w:w="1440"/>
          </w:tcPr>
          <w:p>
            <w:r>
              <w:t>12,5</w:t>
            </w:r>
          </w:p>
        </w:tc>
        <w:tc>
          <w:tcPr>
            <w:tcW w:type="dxa" w:w="1440"/>
          </w:tcPr>
          <w:p>
            <w:r>
              <w:t>Система А‑класса ≈ 20‑30 млн ₽ (см. ТР ТС 21‑2011)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**Охрана труда / ПМЭП**</w:t>
            </w:r>
          </w:p>
        </w:tc>
        <w:tc>
          <w:tcPr>
            <w:tcW w:type="dxa" w:w="1440"/>
          </w:tcPr>
          <w:p>
            <w:r>
              <w:t>40 %</w:t>
            </w:r>
          </w:p>
        </w:tc>
        <w:tc>
          <w:tcPr>
            <w:tcW w:type="dxa" w:w="1440"/>
          </w:tcPr>
          <w:p>
            <w:r>
              <w:t>20 млн ₽ (разработка и внедрение ПМЭП)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Консультационные услуги ≈ 15 млн ₽, внедрение ≈ 5 млн ₽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**Сертификация модулей**</w:t>
            </w:r>
          </w:p>
        </w:tc>
        <w:tc>
          <w:tcPr>
            <w:tcW w:type="dxa" w:w="1440"/>
          </w:tcPr>
          <w:p>
            <w:r>
              <w:t>30 %</w:t>
            </w:r>
          </w:p>
        </w:tc>
        <w:tc>
          <w:tcPr>
            <w:tcW w:type="dxa" w:w="1440"/>
          </w:tcPr>
          <w:p>
            <w:r>
              <w:t>5 млн ₽ (сертификаты соответствия)</w:t>
            </w:r>
          </w:p>
        </w:tc>
        <w:tc>
          <w:tcPr>
            <w:tcW w:type="dxa" w:w="1440"/>
          </w:tcPr>
          <w:p>
            <w:r>
              <w:t>1,5</w:t>
            </w:r>
          </w:p>
        </w:tc>
        <w:tc>
          <w:tcPr>
            <w:tcW w:type="dxa" w:w="1440"/>
          </w:tcPr>
          <w:p>
            <w:r>
              <w:t>Стоимость одного сертификата ≈ 0,5 млн ₽, требуется 10‑12 шт.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**Утилизация отработанных модулей** (по окончании срока)</w:t>
            </w:r>
          </w:p>
        </w:tc>
        <w:tc>
          <w:tcPr>
            <w:tcW w:type="dxa" w:w="1440"/>
          </w:tcPr>
          <w:p>
            <w:r>
              <w:t>30 %</w:t>
            </w:r>
          </w:p>
        </w:tc>
        <w:tc>
          <w:tcPr>
            <w:tcW w:type="dxa" w:w="1440"/>
          </w:tcPr>
          <w:p>
            <w:r>
              <w:t>40 млн ₽ (план утилизации)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Средняя стоимость утилизации ≈ 30‑50 млн ₽ (закон № 89‑ФЗ)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**Тарифная индексация (ДПМ ВИЭ)**</w:t>
            </w:r>
          </w:p>
        </w:tc>
        <w:tc>
          <w:tcPr>
            <w:tcW w:type="dxa" w:w="1440"/>
          </w:tcPr>
          <w:p>
            <w:r>
              <w:t>50 %</w:t>
            </w:r>
          </w:p>
        </w:tc>
        <w:tc>
          <w:tcPr>
            <w:tcW w:type="dxa" w:w="1440"/>
          </w:tcPr>
          <w:p>
            <w:r>
              <w:t>0 млн ₽ (не учитывается в модели)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Не учитывается, но риск‑потенциал включён в сценарный анализ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**Страхование (обязательное)**</w:t>
            </w:r>
          </w:p>
        </w:tc>
        <w:tc>
          <w:tcPr>
            <w:tcW w:type="dxa" w:w="1440"/>
          </w:tcPr>
          <w:p>
            <w:r>
              <w:t>100 %</w:t>
            </w:r>
          </w:p>
        </w:tc>
        <w:tc>
          <w:tcPr>
            <w:tcW w:type="dxa" w:w="1440"/>
          </w:tcPr>
          <w:p>
            <w:r>
              <w:t>10 млн ₽ (годовой премиум)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По ФЗ 40‑ФЗ – обязательное страхование ≈ 10 млн ₽/год (включено в OPEX)</w:t>
            </w:r>
          </w:p>
        </w:tc>
      </w:tr>
      <w:tr>
        <w:tc>
          <w:tcPr>
            <w:tcW w:type="dxa" w:w="1440"/>
          </w:tcPr>
          <w:p>
            <w:r>
              <w:t>**Итого**</w:t>
            </w:r>
          </w:p>
        </w:tc>
        <w:tc>
          <w:tcPr>
            <w:tcW w:type="dxa" w:w="1440"/>
          </w:tcPr>
          <w:p>
            <w:r>
              <w:t>–</w:t>
            </w:r>
          </w:p>
        </w:tc>
        <w:tc>
          <w:tcPr>
            <w:tcW w:type="dxa" w:w="1440"/>
          </w:tcPr>
          <w:p>
            <w:r>
              <w:t>–</w:t>
            </w:r>
          </w:p>
        </w:tc>
        <w:tc>
          <w:tcPr>
            <w:tcW w:type="dxa" w:w="1440"/>
          </w:tcPr>
          <w:p>
            <w:r>
              <w:t>–</w:t>
            </w:r>
          </w:p>
        </w:tc>
        <w:tc>
          <w:tcPr>
            <w:tcW w:type="dxa" w:w="1440"/>
          </w:tcPr>
          <w:p>
            <w:r>
              <w:t>**≈ 317 млн ₽**</w:t>
            </w:r>
          </w:p>
        </w:tc>
        <w:tc>
          <w:tcPr>
            <w:tcW w:type="dxa" w:w="1440"/>
          </w:tcPr>
          <w:p>
            <w:r>
              <w:t>–</w:t>
            </w:r>
          </w:p>
        </w:tc>
      </w:tr>
    </w:tbl>
    <w:p/>
    <w:p>
      <w:r>
        <w:t xml:space="preserve">&gt; </w:t>
      </w:r>
      <w:r>
        <w:rPr>
          <w:b/>
        </w:rPr>
        <w:t>Итого:</w:t>
      </w:r>
      <w:r>
        <w:t xml:space="preserve"> Приведённые риски добавляют </w:t>
      </w:r>
      <w:r>
        <w:rPr>
          <w:b/>
        </w:rPr>
        <w:t>≈ 317 млн ₽</w:t>
      </w:r>
      <w:r>
        <w:t xml:space="preserve"> к стоимости проекта (≈ 7 % от CAPEX). При их учёте NPV базового сценария становится ещё более отрицательным (≈ ‑1,9 млрд ₽).</w:t>
      </w:r>
    </w:p>
    <w:p>
      <w:r>
        <w:t>---</w:t>
      </w:r>
    </w:p>
    <w:p>
      <w:pPr>
        <w:pStyle w:val="Heading2"/>
      </w:pPr>
      <w:r>
        <w:t>5️⃣ Итоговый вердикт и рекомендация для инвестора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Критерий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Порог (по правилам)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Фактическое значение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Оценка</w:t>
            </w:r>
          </w:p>
        </w:tc>
      </w:tr>
      <w:tr>
        <w:tc>
          <w:tcPr>
            <w:tcW w:type="dxa" w:w="2160"/>
          </w:tcPr>
          <w:p>
            <w:r>
              <w:t>**КИУМ**</w:t>
            </w:r>
          </w:p>
        </w:tc>
        <w:tc>
          <w:tcPr>
            <w:tcW w:type="dxa" w:w="2160"/>
          </w:tcPr>
          <w:p>
            <w:r>
              <w:t>≤ 25 % (реалистично)</w:t>
            </w:r>
          </w:p>
        </w:tc>
        <w:tc>
          <w:tcPr>
            <w:tcW w:type="dxa" w:w="2160"/>
          </w:tcPr>
          <w:p>
            <w:r>
              <w:t>**20 %** (корректировано)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**NPV (25 лет)**</w:t>
            </w:r>
          </w:p>
        </w:tc>
        <w:tc>
          <w:tcPr>
            <w:tcW w:type="dxa" w:w="2160"/>
          </w:tcPr>
          <w:p>
            <w:r>
              <w:t>≥ 0</w:t>
            </w:r>
          </w:p>
        </w:tc>
        <w:tc>
          <w:tcPr>
            <w:tcW w:type="dxa" w:w="2160"/>
          </w:tcPr>
          <w:p>
            <w:r>
              <w:t>**‑1 598 млн ₽** (базовый)</w:t>
            </w:r>
          </w:p>
        </w:tc>
        <w:tc>
          <w:tcPr>
            <w:tcW w:type="dxa" w:w="2160"/>
          </w:tcPr>
          <w:p>
            <w:r>
              <w:t>❌</w:t>
            </w:r>
          </w:p>
        </w:tc>
      </w:tr>
      <w:tr>
        <w:tc>
          <w:tcPr>
            <w:tcW w:type="dxa" w:w="2160"/>
          </w:tcPr>
          <w:p>
            <w:r>
              <w:t>**IRR**</w:t>
            </w:r>
          </w:p>
        </w:tc>
        <w:tc>
          <w:tcPr>
            <w:tcW w:type="dxa" w:w="2160"/>
          </w:tcPr>
          <w:p>
            <w:r>
              <w:t>≥ WACC (8 %)</w:t>
            </w:r>
          </w:p>
        </w:tc>
        <w:tc>
          <w:tcPr>
            <w:tcW w:type="dxa" w:w="2160"/>
          </w:tcPr>
          <w:p>
            <w:r>
              <w:t>**5,2 %**</w:t>
            </w:r>
          </w:p>
        </w:tc>
        <w:tc>
          <w:tcPr>
            <w:tcW w:type="dxa" w:w="2160"/>
          </w:tcPr>
          <w:p>
            <w:r>
              <w:t>❌</w:t>
            </w:r>
          </w:p>
        </w:tc>
      </w:tr>
      <w:tr>
        <w:tc>
          <w:tcPr>
            <w:tcW w:type="dxa" w:w="2160"/>
          </w:tcPr>
          <w:p>
            <w:r>
              <w:t>**Payback**</w:t>
            </w:r>
          </w:p>
        </w:tc>
        <w:tc>
          <w:tcPr>
            <w:tcW w:type="dxa" w:w="2160"/>
          </w:tcPr>
          <w:p>
            <w:r>
              <w:t>≤ 10 лет (для СЭС)</w:t>
            </w:r>
          </w:p>
        </w:tc>
        <w:tc>
          <w:tcPr>
            <w:tcW w:type="dxa" w:w="2160"/>
          </w:tcPr>
          <w:p>
            <w:r>
              <w:t>**23 года**</w:t>
            </w:r>
          </w:p>
        </w:tc>
        <w:tc>
          <w:tcPr>
            <w:tcW w:type="dxa" w:w="2160"/>
          </w:tcPr>
          <w:p>
            <w:r>
              <w:t>❌</w:t>
            </w:r>
          </w:p>
        </w:tc>
      </w:tr>
      <w:tr>
        <w:tc>
          <w:tcPr>
            <w:tcW w:type="dxa" w:w="2160"/>
          </w:tcPr>
          <w:p>
            <w:r>
              <w:t>**IRR &gt; 20 %** (сигнал ошибки)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5,2 %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**Соответствие нормативам**</w:t>
            </w:r>
          </w:p>
        </w:tc>
        <w:tc>
          <w:tcPr>
            <w:tcW w:type="dxa" w:w="2160"/>
          </w:tcPr>
          <w:p>
            <w:r>
              <w:t>Полный пакет документов</w:t>
            </w:r>
          </w:p>
        </w:tc>
        <w:tc>
          <w:tcPr>
            <w:tcW w:type="dxa" w:w="2160"/>
          </w:tcPr>
          <w:p>
            <w:r>
              <w:t>**Недостаточно** (см. матрицу рисков)</w:t>
            </w:r>
          </w:p>
        </w:tc>
        <w:tc>
          <w:tcPr>
            <w:tcW w:type="dxa" w:w="2160"/>
          </w:tcPr>
          <w:p>
            <w:r>
              <w:t>❌</w:t>
            </w:r>
          </w:p>
        </w:tc>
      </w:tr>
    </w:tbl>
    <w:p/>
    <w:p>
      <w:pPr>
        <w:pStyle w:val="Heading3"/>
      </w:pPr>
      <w:r>
        <w:t>📌 Вывод</w:t>
      </w:r>
    </w:p>
    <w:p>
      <w:pPr>
        <w:pStyle w:val="ListNumber"/>
      </w:pPr>
      <w:r>
        <w:t>**Физическая ошибка** в исходных ТЭО (КИУМ = 100 %) исправлена; реальная выработка – 87 600 МВт·ч/год.</w:t>
      </w:r>
    </w:p>
    <w:p>
      <w:pPr>
        <w:pStyle w:val="ListNumber"/>
      </w:pPr>
      <w:r>
        <w:t>При корректных параметрах **NPV отрицательно**, **IRR ниже WACC**, а **срок окупаемости** превышает 20 лет.</w:t>
      </w:r>
    </w:p>
    <w:p>
      <w:pPr>
        <w:pStyle w:val="ListNumber"/>
      </w:pPr>
      <w:r>
        <w:t>**Сценарный анализ** показывает, что только при **оптимистичном тарифе 12 ₽/кВт·ч** (возможном лишь при длительной государственной поддержке) проект становится прибыльным (NPV ≈ +5 млрд ₽, IRR ≈ 13,8 %). Такой тариф не гарантирован и требует отдельного конкурсного отбора.</w:t>
      </w:r>
    </w:p>
    <w:p>
      <w:pPr>
        <w:pStyle w:val="ListNumber"/>
      </w:pPr>
      <w:r>
        <w:t>**Риски** (лицензирование, подключение, экологическое согласование, пожарная безопасность и др.) добавляют ≈ 317 млн ₽ к стоимости и не покрыты в текущем ТЭО.</w:t>
      </w:r>
    </w:p>
    <w:p>
      <w:pPr>
        <w:pStyle w:val="Heading3"/>
      </w:pPr>
      <w:r>
        <w:t>✅ Рекомендация</w:t>
      </w:r>
    </w:p>
    <w:p>
      <w:r>
        <w:t xml:space="preserve">&gt; </w:t>
      </w:r>
      <w:r>
        <w:rPr>
          <w:b/>
        </w:rPr>
        <w:t>Отклонить</w:t>
      </w:r>
      <w:r>
        <w:t xml:space="preserve"> текущий проект «СЭС – 50 МВт» в его текущем виде.</w:t>
      </w:r>
    </w:p>
    <w:p>
      <w:r/>
      <w:r>
        <w:rPr>
          <w:b/>
        </w:rPr>
        <w:t>Причины:</w:t>
      </w:r>
      <w:r/>
    </w:p>
    <w:p>
      <w:pPr>
        <w:pStyle w:val="ListBullet"/>
      </w:pPr>
      <w:r>
        <w:t>Нереалистичный исходный КИУМ и, как следствие, завышенные финансовые показатели.</w:t>
      </w:r>
    </w:p>
    <w:p>
      <w:pPr>
        <w:pStyle w:val="ListBullet"/>
      </w:pPr>
      <w:r>
        <w:t>При корректных расчётах проект имеет отрицательное NPV и IRR &lt; WACC.</w:t>
      </w:r>
    </w:p>
    <w:p>
      <w:pPr>
        <w:pStyle w:val="ListBullet"/>
      </w:pPr>
      <w:r>
        <w:t>Не покрыты ключевые нормативные требования (лицензия, подключение, экологическая экспертиза, ПМЭП, утилизация).</w:t>
      </w:r>
    </w:p>
    <w:p>
      <w:pPr>
        <w:pStyle w:val="ListBullet"/>
      </w:pPr>
      <w:r>
        <w:t>Требуется существенное увеличение тарифов (≥ 12 ₽/кВт·ч) и/или значительное снижение CAPEX, что в текущих рыночных условиях маловероятно.</w:t>
      </w:r>
    </w:p>
    <w:p>
      <w:r/>
      <w:r>
        <w:rPr>
          <w:b/>
        </w:rPr>
        <w:t>Что можно сделать, если инвестор всё‑равно заинтересован:</w:t>
      </w:r>
      <w:r/>
    </w:p>
    <w:p>
      <w:pPr>
        <w:pStyle w:val="ListNumber"/>
      </w:pPr>
      <w:r>
        <w:t>**Пересчитать проект с более низким CAPEX** (использовать более дешёвые модули, оптимизировать строительство).</w:t>
      </w:r>
    </w:p>
    <w:p>
      <w:pPr>
        <w:pStyle w:val="ListNumber"/>
      </w:pPr>
      <w:r>
        <w:t>**Добиться гарантированного ДПМ ВИЭ** с тарифом ≥ 12 ₽/кВт·ч и сроком не менее 10 лет (конкурсный отбор, государственная поддержка).</w:t>
      </w:r>
    </w:p>
    <w:p>
      <w:pPr>
        <w:pStyle w:val="ListNumber"/>
      </w:pPr>
      <w:r>
        <w:t>**Сократить OPEX** (автоматизация обслуживания, долгосрочные сервисные контракты).</w:t>
      </w:r>
    </w:p>
    <w:p>
      <w:pPr>
        <w:pStyle w:val="ListNumber"/>
      </w:pPr>
      <w:r>
        <w:t>**Полностью закрыть все пробелы в нормативных документах** (получить лицензии, согласования, ПМЭП, ПАО, сертификаты, страхование).</w:t>
      </w:r>
    </w:p>
    <w:p>
      <w:r>
        <w:t>Только после выполнения вышеуказанных пунктов проект может стать финансово жизнеспособным и соответствовать «Критическим правилам математики и финансового анализа».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