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anrope" w:hAnsi="Manrope"/>
          <w:b/>
          <w:color w:val="122A42"/>
          <w:sz w:val="44"/>
        </w:rPr>
        <w:t>EXECUTIVE C-LEVEL STRATÉGIAI DÖNTÉSI MÁTRIX</w:t>
      </w:r>
    </w:p>
    <w:p>
      <w:pPr>
        <w:spacing w:after="360"/>
      </w:pPr>
      <w:r>
        <w:rPr>
          <w:rFonts w:ascii="Inter" w:hAnsi="Inter"/>
          <w:i/>
          <w:color w:val="5C6C82"/>
          <w:sz w:val="26"/>
        </w:rPr>
        <w:t>Hivatalos Előadói Kézikönyv és Időzített Beszédvázlat (40–45 Perc)</w:t>
      </w:r>
    </w:p>
    <w:p>
      <w:pPr>
        <w:spacing w:before="280" w:after="80"/>
      </w:pPr>
      <w:r>
        <w:rPr>
          <w:rFonts w:ascii="Manrope" w:hAnsi="Manrope"/>
          <w:b/>
          <w:color w:val="1D7CD8"/>
          <w:sz w:val="30"/>
        </w:rPr>
        <w:t>00:00 – 04:00 | NYITÁNY: A 60%-os Projektkudarc Valódi Oka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Mondanivaló: </w:t>
      </w:r>
      <w:r>
        <w:rPr>
          <w:rFonts w:ascii="Inter" w:hAnsi="Inter"/>
          <w:color w:val="142033"/>
          <w:sz w:val="22"/>
        </w:rPr>
        <w:t>„Tisztelt Igazgatóság, Kedves Vezetőtársaim! Ha áttekintjük az elmúlt évek stratégiai beruházásait, azt látjuk, hogy a kudarcok 60%-a nem rossz technológiai döntésből fakad, hanem abból, hogy egy stabil, standard operációs környezetbe agilis, ködben tapogatózó módszertant kényszerítettünk — vagy fordítva: egy radikális innovációs projektnél letiltottuk a kísérletezést a gyári vízesés fegyelemre hivatkozva. A mai előadásban felrajzoljuk a vezetési döntések 4 külön világát a bizonytalansági koordináták tengelyein, és végigveszszük azt a 12 dimenziót, amely megvédi a vállalat tőkéjét a téves módszertani fojtogatástól.”</w:t>
      </w:r>
    </w:p>
    <w:p>
      <w:pPr>
        <w:spacing w:before="280" w:after="80"/>
      </w:pPr>
      <w:r>
        <w:rPr>
          <w:rFonts w:ascii="Manrope" w:hAnsi="Manrope"/>
          <w:b/>
          <w:color w:val="1D7CD8"/>
          <w:sz w:val="30"/>
        </w:rPr>
        <w:t>04:00 – 09:00 | 1. BLOKK: Módszertan, AI és HR Alapok (1–3. Dimenzió)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Fókusz: </w:t>
      </w:r>
      <w:r>
        <w:rPr>
          <w:rFonts w:ascii="Inter" w:hAnsi="Inter"/>
          <w:color w:val="142033"/>
          <w:sz w:val="22"/>
        </w:rPr>
        <w:t>Hogyan strukturáljuk a folyamatokat, az AI eszköztárat és a személyiségprofilokat a feladat ismeretessége szerint?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1. Módszertan &amp; Folyamat: </w:t>
      </w:r>
      <w:r>
        <w:rPr>
          <w:rFonts w:ascii="Inter" w:hAnsi="Inter"/>
          <w:color w:val="142033"/>
          <w:sz w:val="22"/>
        </w:rPr>
        <w:t>Q1 (Standard): WBS, Gantt, Six Sigma DMAIC és SOP szabványok a kiszámítható operációért. Q2 (Innováció): TRL 1-9 érettség, Stage-Gate kutatási kapuk és prediktív analitika. Q3 (Adaptáció): Design Thinking gyémánt, MVP tesztelés és Lean VSM. Q4 (Felfedezés): Agilis sprintek és autonóm ágensek.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2. AI &amp; Digitális Eszközök: </w:t>
      </w:r>
      <w:r>
        <w:rPr>
          <w:rFonts w:ascii="Inter" w:hAnsi="Inter"/>
          <w:color w:val="142033"/>
          <w:sz w:val="22"/>
        </w:rPr>
        <w:t>Q1: Az RPA és determinisztikus számlafeldolgozás. Q2: Prediktív modellek és Digital Twin ikerpár. Q3: Process Mining folyamatbányászat és generatív AI. Q4: Multi-agent autonóm kutatórendszerek.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3. Személyiségprofilok &amp; HR: </w:t>
      </w:r>
      <w:r>
        <w:rPr>
          <w:rFonts w:ascii="Inter" w:hAnsi="Inter"/>
          <w:color w:val="142033"/>
          <w:sz w:val="22"/>
        </w:rPr>
        <w:t>Q1: A precíz végrehajtó (The Executor). Q2: A mély analitikus / kutató-mérnök. Q3: Az értékáram-vadász és Product Owner. Q4: A reziliens felfedező és vizionárius vezető.</w:t>
      </w:r>
    </w:p>
    <w:p>
      <w:pPr>
        <w:spacing w:before="280" w:after="80"/>
      </w:pPr>
      <w:r>
        <w:rPr>
          <w:rFonts w:ascii="Manrope" w:hAnsi="Manrope"/>
          <w:b/>
          <w:color w:val="1D7CD8"/>
          <w:sz w:val="30"/>
        </w:rPr>
        <w:t>09:00 – 15:00 | 2. BLOKK: Attitűd, Vezetés és Kultúra (4–6. Dimenzió)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Fókusz: </w:t>
      </w:r>
      <w:r>
        <w:rPr>
          <w:rFonts w:ascii="Inter" w:hAnsi="Inter"/>
          <w:color w:val="142033"/>
          <w:sz w:val="22"/>
        </w:rPr>
        <w:t>A belső motivációk, a vezetői stílusok és az irodai atmoszféra transzformációja.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4. Munkavállalói Attitűd: </w:t>
      </w:r>
      <w:r>
        <w:rPr>
          <w:rFonts w:ascii="Inter" w:hAnsi="Inter"/>
          <w:color w:val="142033"/>
          <w:sz w:val="22"/>
        </w:rPr>
        <w:t>Q1: Biztonság, fegyelem és kiszámítható rutin. Q2: Szakmai büszkeség és mérnöki intellektuális kihívás. Q3: Kíváncsiság és közvetlen piaci visszacsatolás. Q4: Küldetéstudat és úttörő szellem a ködben.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5. Vezetés &amp; Döntéshozatal: </w:t>
      </w:r>
      <w:r>
        <w:rPr>
          <w:rFonts w:ascii="Inter" w:hAnsi="Inter"/>
          <w:color w:val="142033"/>
          <w:sz w:val="22"/>
        </w:rPr>
        <w:t>Q1: Direktív utasítás és kontroll. Q2: Konzultatív mentorálás és adatalapú kapu-felülvizsgálat. Q3: Inspiráló kísérlet-orientáció és Gemba séta. Q4: Szolga vezetés (Servant leadership), akadályelhárítás és teljes pszichológiai biztonság.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6. Vállalati Kultúra: </w:t>
      </w:r>
      <w:r>
        <w:rPr>
          <w:rFonts w:ascii="Inter" w:hAnsi="Inter"/>
          <w:color w:val="142033"/>
          <w:sz w:val="22"/>
        </w:rPr>
        <w:t>Q1: A fegyelem temploma (svájci óra pontosság). Q2: Mérnöki akkumulátor és laboratórium. Q3: Startup nyomozóiroda és pörgős tesztelési láz. Q4: Skunk Works inkubátor mentesen a bürokráciától.</w:t>
      </w:r>
    </w:p>
    <w:p>
      <w:pPr>
        <w:spacing w:before="280" w:after="80"/>
      </w:pPr>
      <w:r>
        <w:rPr>
          <w:rFonts w:ascii="Manrope" w:hAnsi="Manrope"/>
          <w:b/>
          <w:color w:val="1D7CD8"/>
          <w:sz w:val="30"/>
        </w:rPr>
        <w:t>15:00 – 22:00 | 3. BLOKK: Pénzügy, Szerződések és Jog (7–9. Dimenzió)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Fókusz: </w:t>
      </w:r>
      <w:r>
        <w:rPr>
          <w:rFonts w:ascii="Inter" w:hAnsi="Inter"/>
          <w:color w:val="142033"/>
          <w:sz w:val="22"/>
        </w:rPr>
        <w:t>A tőkeallokáció, a kockázatmegosztó szerződések és a jogi keretrendszerek illesztése.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7. Pénzügy &amp; Megtérülés (ROI): </w:t>
      </w:r>
      <w:r>
        <w:rPr>
          <w:rFonts w:ascii="Inter" w:hAnsi="Inter"/>
          <w:color w:val="142033"/>
          <w:sz w:val="22"/>
        </w:rPr>
        <w:t>Q1: Fix OPEX és EVM teljesítménykontroll. Q2: Fázisolt CAPEX és mérföldkő alapú forrásfelszabadítás. Q3: Kísérleti Lean keret és CAC/LTV egységgazdaságtan. Q4: Kockázati tőke (VC) szemlélet és tudatos veszteségfinanszírozás a jövőért.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8. Szerződéses Struktúrák: </w:t>
      </w:r>
      <w:r>
        <w:rPr>
          <w:rFonts w:ascii="Inter" w:hAnsi="Inter"/>
          <w:color w:val="142033"/>
          <w:sz w:val="22"/>
        </w:rPr>
        <w:t>Q1: Fix áras szerződés és EPC kötbérgarancia. Q2: Fázisolt milestone T&amp;M és IP megosztás. Q3: Gain-share megtakarítás-arányos sikerdíj. Q4: Tiszta idő- és anyagelszámolású (T&amp;M) agilis keret.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9. Jog &amp; Compliance: </w:t>
      </w:r>
      <w:r>
        <w:rPr>
          <w:rFonts w:ascii="Inter" w:hAnsi="Inter"/>
          <w:color w:val="142033"/>
          <w:sz w:val="22"/>
        </w:rPr>
        <w:t>Q1: Szigorú compliance pajzs és GDPR védelem. Q2: Szabadalmi portfólió és titoktartási (NDA) stratégia. Q3: Szabályozói homokozó (Regulatory Sandbox). Q4: Precedensteremtő új jogalkotási keretek.</w:t>
      </w:r>
    </w:p>
    <w:p>
      <w:pPr>
        <w:spacing w:before="280" w:after="80"/>
      </w:pPr>
      <w:r>
        <w:rPr>
          <w:rFonts w:ascii="Manrope" w:hAnsi="Manrope"/>
          <w:b/>
          <w:color w:val="1D7CD8"/>
          <w:sz w:val="30"/>
        </w:rPr>
        <w:t>22:00 – 32:00 | 4. BLOKK: Hibák, Szokások és Buktatók (10–12. Dimenzió)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Fókusz: </w:t>
      </w:r>
      <w:r>
        <w:rPr>
          <w:rFonts w:ascii="Inter" w:hAnsi="Inter"/>
          <w:color w:val="142033"/>
          <w:sz w:val="22"/>
        </w:rPr>
        <w:t>A hibakultúra, a szervezeti tehetetlenség („így szoktuk”) és a tipikus vezetési tévedések elkerülése.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10. Hibakultúra &amp; Kockázat: </w:t>
      </w:r>
      <w:r>
        <w:rPr>
          <w:rFonts w:ascii="Inter" w:hAnsi="Inter"/>
          <w:color w:val="142033"/>
          <w:sz w:val="22"/>
        </w:rPr>
        <w:t>Q1: Zéró tolerancia (a hiba leállás). Q2: Kontrollált kísérleti hiba a laborban. Q3: Olcsó korai bukás, ahol a hiba értékes piaci visszajelzés. Q4: Radikális kísérletezés, ahol a hiba hiánya a középszerűség jele.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11. „Így szoktuk” Csapdája: </w:t>
      </w:r>
      <w:r>
        <w:rPr>
          <w:rFonts w:ascii="Inter" w:hAnsi="Inter"/>
          <w:color w:val="142033"/>
          <w:sz w:val="22"/>
        </w:rPr>
        <w:t>Q1: Életmentő biztonság és kiszámítható stabilitás. Q2: Régi mérnöki dogmák és technológiai vakság lebontása. Q3: Ügyfélsüketség és belső fókusz felszámolása. Q4: Bürokratikus fojtogatás és innovációgyilkosság megakadályozása.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12. Kormányzási Buktatók: </w:t>
      </w:r>
      <w:r>
        <w:rPr>
          <w:rFonts w:ascii="Inter" w:hAnsi="Inter"/>
          <w:color w:val="142033"/>
          <w:sz w:val="22"/>
        </w:rPr>
        <w:t>Q1: Elkésett automatizáció és drága kényelem. Q2: Túlmérnökölés (Overengineering) és polcnak fejlesztés. Q3: A kalapács szindróma (szuper tech, de nincs fájdalompont). Q4: A felfedezés megfojtása türelmetlen, fix ROI elvárással a ködben.</w:t>
      </w:r>
    </w:p>
    <w:p>
      <w:pPr>
        <w:spacing w:before="280" w:after="80"/>
      </w:pPr>
      <w:r>
        <w:rPr>
          <w:rFonts w:ascii="Manrope" w:hAnsi="Manrope"/>
          <w:b/>
          <w:color w:val="1D7CD8"/>
          <w:sz w:val="30"/>
        </w:rPr>
        <w:t>32:00 – 40:00 | ZÁRÁSI GONDOLAT &amp; Q&amp;A: A Változás Végrehajtása</w:t>
      </w:r>
    </w:p>
    <w:p>
      <w:pPr>
        <w:spacing w:after="120" w:line="276" w:lineRule="auto"/>
      </w:pPr>
      <w:r>
        <w:rPr>
          <w:rFonts w:ascii="Inter" w:hAnsi="Inter"/>
          <w:b/>
          <w:color w:val="142033"/>
          <w:sz w:val="22"/>
        </w:rPr>
        <w:t xml:space="preserve">Zárszó: </w:t>
      </w:r>
      <w:r>
        <w:rPr>
          <w:rFonts w:ascii="Inter" w:hAnsi="Inter"/>
          <w:color w:val="142033"/>
          <w:sz w:val="22"/>
        </w:rPr>
        <w:t>„Tisztelt Vezetőtársaim! A mátrix nem egy falra akasztott dekoráció, hanem egy napi szintű navigációs műszer. Amikor elindítunk egy projektet, először megvizsgáljuk: hol helyezkedünk el a bizonytalansági koordinátákon? Ha megvan a negyed, azonnal behívjuk a hozzá tartozó 12 dimenziós védőhálót — a megfelelő szerződéstől a megfelelő HR karakterig. Köszönöm a figyelmüket, és nyissuk meg a teret a kérdések és a konkrét projektek áttekintése előtt!”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