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0FFDA">
      <w:pPr>
        <w:pStyle w:val="2"/>
        <w:spacing w:before="99" w:line="229" w:lineRule="auto"/>
        <w:ind w:firstLine="864" w:firstLineChars="200"/>
        <w:outlineLvl w:val="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pacing w:val="-4"/>
          <w:sz w:val="44"/>
          <w:szCs w:val="44"/>
        </w:rPr>
        <w:t>Boltz2 与 Boltz2-score 速度综合对比报告</w:t>
      </w:r>
    </w:p>
    <w:p w14:paraId="2D6462D1">
      <w:pPr>
        <w:pStyle w:val="2"/>
        <w:spacing w:before="184" w:line="230" w:lineRule="auto"/>
        <w:ind w:left="30"/>
        <w:outlineLvl w:val="1"/>
        <w:rPr>
          <w:rFonts w:hint="eastAsia" w:ascii="微软雅黑" w:hAnsi="微软雅黑" w:eastAsia="微软雅黑" w:cs="微软雅黑"/>
          <w:color w:val="7030A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7030A0"/>
          <w:spacing w:val="-13"/>
          <w:sz w:val="30"/>
          <w:szCs w:val="30"/>
        </w:rPr>
        <w:t>1.</w:t>
      </w:r>
      <w:r>
        <w:rPr>
          <w:rFonts w:hint="eastAsia" w:ascii="微软雅黑" w:hAnsi="微软雅黑" w:eastAsia="微软雅黑" w:cs="微软雅黑"/>
          <w:color w:val="7030A0"/>
          <w:spacing w:val="37"/>
          <w:sz w:val="30"/>
          <w:szCs w:val="30"/>
        </w:rPr>
        <w:t xml:space="preserve"> </w:t>
      </w:r>
      <w:r>
        <w:rPr>
          <w:rFonts w:hint="eastAsia" w:ascii="微软雅黑" w:hAnsi="微软雅黑" w:eastAsia="微软雅黑" w:cs="微软雅黑"/>
          <w:color w:val="7030A0"/>
          <w:spacing w:val="-13"/>
          <w:sz w:val="30"/>
          <w:szCs w:val="30"/>
        </w:rPr>
        <w:t>核心结论</w:t>
      </w:r>
    </w:p>
    <w:p w14:paraId="0FC0ED91">
      <w:pPr>
        <w:pStyle w:val="2"/>
        <w:spacing w:before="131" w:line="251" w:lineRule="auto"/>
        <w:ind w:left="5" w:right="269" w:hanging="2"/>
        <w:rPr>
          <w:rFonts w:hint="eastAsia" w:ascii="微软雅黑" w:hAnsi="微软雅黑" w:eastAsia="微软雅黑" w:cs="微软雅黑"/>
          <w:b w:val="0"/>
          <w:b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spacing w:val="-2"/>
          <w:sz w:val="20"/>
          <w:szCs w:val="20"/>
        </w:rPr>
        <w:t>在关闭 MSA时，Boltz2-score</w:t>
      </w:r>
      <w:r>
        <w:rPr>
          <w:rFonts w:hint="eastAsia" w:ascii="微软雅黑" w:hAnsi="微软雅黑" w:eastAsia="微软雅黑" w:cs="微软雅黑"/>
          <w:b w:val="0"/>
          <w:bCs w:val="0"/>
          <w:spacing w:val="14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pacing w:val="-2"/>
          <w:sz w:val="20"/>
          <w:szCs w:val="20"/>
        </w:rPr>
        <w:t>的速度</w:t>
      </w:r>
      <w:r>
        <w:rPr>
          <w:rFonts w:hint="eastAsia" w:ascii="微软雅黑" w:hAnsi="微软雅黑" w:eastAsia="微软雅黑" w:cs="微软雅黑"/>
          <w:b w:val="0"/>
          <w:bCs w:val="0"/>
          <w:spacing w:val="-3"/>
          <w:sz w:val="20"/>
          <w:szCs w:val="20"/>
        </w:rPr>
        <w:t>优势非常明显：三种长度合计耗时由 Boltz2 的 20. 10s</w:t>
      </w:r>
      <w:r>
        <w:rPr>
          <w:rFonts w:hint="eastAsia" w:ascii="微软雅黑" w:hAnsi="微软雅黑" w:eastAsia="微软雅黑" w:cs="微软雅黑"/>
          <w:b w:val="0"/>
          <w:bCs w:val="0"/>
          <w:spacing w:val="16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pacing w:val="-3"/>
          <w:sz w:val="20"/>
          <w:szCs w:val="20"/>
        </w:rPr>
        <w:t>降至 3. 20s，总加速约</w:t>
      </w:r>
      <w:r>
        <w:rPr>
          <w:rFonts w:hint="eastAsia" w:ascii="微软雅黑" w:hAnsi="微软雅黑" w:eastAsia="微软雅黑" w:cs="微软雅黑"/>
          <w:b w:val="0"/>
          <w:bCs w:val="0"/>
          <w:spacing w:val="-1"/>
          <w:sz w:val="20"/>
          <w:szCs w:val="20"/>
        </w:rPr>
        <w:t>6. 28x，耗时降低 84.</w:t>
      </w:r>
      <w:r>
        <w:rPr>
          <w:rFonts w:hint="eastAsia" w:ascii="微软雅黑" w:hAnsi="微软雅黑" w:eastAsia="微软雅黑" w:cs="微软雅黑"/>
          <w:b w:val="0"/>
          <w:bCs w:val="0"/>
          <w:spacing w:val="21"/>
          <w:w w:val="101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pacing w:val="-1"/>
          <w:sz w:val="20"/>
          <w:szCs w:val="20"/>
        </w:rPr>
        <w:t>1%。在</w:t>
      </w:r>
      <w:r>
        <w:rPr>
          <w:rFonts w:hint="eastAsia" w:ascii="微软雅黑" w:hAnsi="微软雅黑" w:eastAsia="微软雅黑" w:cs="微软雅黑"/>
          <w:b w:val="0"/>
          <w:bCs w:val="0"/>
          <w:spacing w:val="-2"/>
          <w:sz w:val="20"/>
          <w:szCs w:val="20"/>
        </w:rPr>
        <w:t>开启 MSA时，MSA搜索/生成成本成为主要耗时来源，Boltz2-score</w:t>
      </w:r>
    </w:p>
    <w:p w14:paraId="639EBAB1">
      <w:pPr>
        <w:pStyle w:val="2"/>
        <w:spacing w:before="1" w:line="248" w:lineRule="auto"/>
        <w:ind w:right="1034" w:firstLine="22"/>
        <w:rPr>
          <w:rFonts w:hint="eastAsia" w:ascii="微软雅黑" w:hAnsi="微软雅黑" w:eastAsia="微软雅黑" w:cs="微软雅黑"/>
          <w:b w:val="0"/>
          <w:b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spacing w:val="-4"/>
          <w:sz w:val="20"/>
          <w:szCs w:val="20"/>
        </w:rPr>
        <w:t>的总体优势缩小：合计耗时由 426. 29s</w:t>
      </w:r>
      <w:r>
        <w:rPr>
          <w:rFonts w:hint="eastAsia" w:ascii="微软雅黑" w:hAnsi="微软雅黑" w:eastAsia="微软雅黑" w:cs="微软雅黑"/>
          <w:b w:val="0"/>
          <w:bCs w:val="0"/>
          <w:spacing w:val="14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pacing w:val="-4"/>
          <w:sz w:val="20"/>
          <w:szCs w:val="20"/>
        </w:rPr>
        <w:t>降至 390. 03s，总加速约</w:t>
      </w:r>
      <w:r>
        <w:rPr>
          <w:rFonts w:hint="eastAsia" w:ascii="微软雅黑" w:hAnsi="微软雅黑" w:eastAsia="微软雅黑" w:cs="微软雅黑"/>
          <w:b w:val="0"/>
          <w:bCs w:val="0"/>
          <w:spacing w:val="14"/>
          <w:w w:val="101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pacing w:val="-4"/>
          <w:sz w:val="20"/>
          <w:szCs w:val="20"/>
        </w:rPr>
        <w:t>1. 09</w:t>
      </w:r>
      <w:r>
        <w:rPr>
          <w:rFonts w:hint="eastAsia" w:ascii="微软雅黑" w:hAnsi="微软雅黑" w:eastAsia="微软雅黑" w:cs="微软雅黑"/>
          <w:b w:val="0"/>
          <w:bCs w:val="0"/>
          <w:spacing w:val="-5"/>
          <w:sz w:val="20"/>
          <w:szCs w:val="20"/>
        </w:rPr>
        <w:t>x。其中长度 400 时 Boltz2-score 慢于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</w:rPr>
        <w:t>Bolt</w:t>
      </w:r>
      <w:r>
        <w:rPr>
          <w:rFonts w:hint="eastAsia" w:ascii="微软雅黑" w:hAnsi="微软雅黑" w:eastAsia="微软雅黑" w:cs="微软雅黑"/>
          <w:b w:val="0"/>
          <w:bCs w:val="0"/>
          <w:spacing w:val="-11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</w:rPr>
        <w:t>z2，说明开启 MSA后加速效果受 MSA阶段波动影响较大。</w:t>
      </w:r>
    </w:p>
    <w:p w14:paraId="7D2B05E7">
      <w:pPr>
        <w:pStyle w:val="2"/>
        <w:spacing w:before="184" w:line="230" w:lineRule="auto"/>
        <w:ind w:left="30"/>
        <w:outlineLvl w:val="1"/>
        <w:rPr>
          <w:rFonts w:hint="eastAsia" w:ascii="微软雅黑" w:hAnsi="微软雅黑" w:eastAsia="微软雅黑" w:cs="微软雅黑"/>
          <w:color w:val="7030A0"/>
          <w:spacing w:val="-13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7030A0"/>
          <w:spacing w:val="-13"/>
          <w:sz w:val="30"/>
          <w:szCs w:val="30"/>
        </w:rPr>
        <w:t>2. 详细数据表</w:t>
      </w:r>
    </w:p>
    <w:p w14:paraId="2B5B1920">
      <w:pPr>
        <w:spacing w:line="104" w:lineRule="exact"/>
      </w:pPr>
    </w:p>
    <w:tbl>
      <w:tblPr>
        <w:tblStyle w:val="5"/>
        <w:tblW w:w="8874" w:type="dxa"/>
        <w:tblInd w:w="683" w:type="dxa"/>
        <w:tblBorders>
          <w:top w:val="single" w:color="999999" w:sz="2" w:space="0"/>
          <w:left w:val="single" w:color="999999" w:sz="2" w:space="0"/>
          <w:bottom w:val="single" w:color="999999" w:sz="2" w:space="0"/>
          <w:right w:val="single" w:color="999999" w:sz="2" w:space="0"/>
          <w:insideH w:val="single" w:color="999999" w:sz="2" w:space="0"/>
          <w:insideV w:val="single" w:color="999999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2"/>
        <w:gridCol w:w="1048"/>
        <w:gridCol w:w="1218"/>
        <w:gridCol w:w="878"/>
        <w:gridCol w:w="935"/>
        <w:gridCol w:w="1048"/>
        <w:gridCol w:w="1218"/>
        <w:gridCol w:w="878"/>
        <w:gridCol w:w="939"/>
      </w:tblGrid>
      <w:tr w14:paraId="225366A0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12" w:type="dxa"/>
            <w:shd w:val="clear" w:color="auto" w:fill="EAF1F8"/>
            <w:vAlign w:val="top"/>
          </w:tcPr>
          <w:p w14:paraId="14B11692">
            <w:pPr>
              <w:pStyle w:val="6"/>
              <w:spacing w:before="128" w:line="221" w:lineRule="auto"/>
              <w:ind w:left="64" w:right="138"/>
            </w:pPr>
            <w:r>
              <w:rPr>
                <w:spacing w:val="-2"/>
              </w:rPr>
              <w:t>序列长</w:t>
            </w:r>
            <w:r>
              <w:t>度</w:t>
            </w:r>
          </w:p>
        </w:tc>
        <w:tc>
          <w:tcPr>
            <w:tcW w:w="1048" w:type="dxa"/>
            <w:shd w:val="clear" w:color="auto" w:fill="EAF1F8"/>
            <w:vAlign w:val="top"/>
          </w:tcPr>
          <w:p w14:paraId="426801DA">
            <w:pPr>
              <w:pStyle w:val="6"/>
              <w:spacing w:before="145" w:line="186" w:lineRule="auto"/>
              <w:ind w:left="57"/>
            </w:pPr>
            <w:r>
              <w:rPr>
                <w:spacing w:val="-1"/>
              </w:rPr>
              <w:t>Boltz2</w:t>
            </w:r>
          </w:p>
          <w:p w14:paraId="2B1431DB">
            <w:pPr>
              <w:pStyle w:val="6"/>
              <w:spacing w:before="11" w:line="185" w:lineRule="auto"/>
              <w:ind w:left="64"/>
            </w:pPr>
            <w:r>
              <w:rPr>
                <w:spacing w:val="-1"/>
              </w:rPr>
              <w:t>关闭MSA(s)</w:t>
            </w:r>
          </w:p>
        </w:tc>
        <w:tc>
          <w:tcPr>
            <w:tcW w:w="1218" w:type="dxa"/>
            <w:shd w:val="clear" w:color="auto" w:fill="EAF1F8"/>
            <w:vAlign w:val="top"/>
          </w:tcPr>
          <w:p w14:paraId="6F12F587">
            <w:pPr>
              <w:pStyle w:val="6"/>
              <w:spacing w:before="145" w:line="222" w:lineRule="auto"/>
              <w:ind w:left="64" w:right="310" w:hanging="6"/>
            </w:pPr>
            <w:r>
              <w:rPr>
                <w:spacing w:val="-1"/>
              </w:rPr>
              <w:t>Boltz2-score关闭MSA(s)</w:t>
            </w:r>
          </w:p>
        </w:tc>
        <w:tc>
          <w:tcPr>
            <w:tcW w:w="878" w:type="dxa"/>
            <w:shd w:val="clear" w:color="auto" w:fill="EAF1F8"/>
            <w:vAlign w:val="top"/>
          </w:tcPr>
          <w:p w14:paraId="361CFF43">
            <w:pPr>
              <w:pStyle w:val="6"/>
              <w:spacing w:before="128" w:line="222" w:lineRule="auto"/>
              <w:ind w:left="63" w:right="128" w:firstLine="2"/>
            </w:pPr>
            <w:r>
              <w:t>关闭MSA</w:t>
            </w:r>
            <w:r>
              <w:rPr>
                <w:spacing w:val="-2"/>
              </w:rPr>
              <w:t>加速比</w:t>
            </w:r>
          </w:p>
        </w:tc>
        <w:tc>
          <w:tcPr>
            <w:tcW w:w="935" w:type="dxa"/>
            <w:shd w:val="clear" w:color="auto" w:fill="EAF1F8"/>
            <w:vAlign w:val="top"/>
          </w:tcPr>
          <w:p w14:paraId="54704918">
            <w:pPr>
              <w:pStyle w:val="6"/>
              <w:spacing w:before="127" w:line="197" w:lineRule="auto"/>
              <w:ind w:left="66"/>
            </w:pPr>
            <w:r>
              <w:t>关闭MSA</w:t>
            </w:r>
          </w:p>
          <w:p w14:paraId="7D2E566A">
            <w:pPr>
              <w:pStyle w:val="6"/>
              <w:spacing w:before="16" w:line="197" w:lineRule="auto"/>
              <w:ind w:left="64"/>
            </w:pPr>
            <w:r>
              <w:rPr>
                <w:spacing w:val="-2"/>
              </w:rPr>
              <w:t>耗时降低</w:t>
            </w:r>
          </w:p>
        </w:tc>
        <w:tc>
          <w:tcPr>
            <w:tcW w:w="1048" w:type="dxa"/>
            <w:shd w:val="clear" w:color="auto" w:fill="EAF1F8"/>
            <w:vAlign w:val="top"/>
          </w:tcPr>
          <w:p w14:paraId="7F7CB6B6">
            <w:pPr>
              <w:pStyle w:val="6"/>
              <w:spacing w:before="145" w:line="186" w:lineRule="auto"/>
              <w:ind w:left="60"/>
            </w:pPr>
            <w:r>
              <w:rPr>
                <w:spacing w:val="-1"/>
              </w:rPr>
              <w:t>Boltz2</w:t>
            </w:r>
          </w:p>
          <w:p w14:paraId="0C43CCC6">
            <w:pPr>
              <w:pStyle w:val="6"/>
              <w:spacing w:before="10" w:line="185" w:lineRule="auto"/>
              <w:ind w:left="65"/>
            </w:pPr>
            <w:r>
              <w:t>开启MSA(s)</w:t>
            </w:r>
          </w:p>
        </w:tc>
        <w:tc>
          <w:tcPr>
            <w:tcW w:w="1218" w:type="dxa"/>
            <w:shd w:val="clear" w:color="auto" w:fill="EAF1F8"/>
            <w:vAlign w:val="top"/>
          </w:tcPr>
          <w:p w14:paraId="27E3DB95">
            <w:pPr>
              <w:pStyle w:val="6"/>
              <w:spacing w:before="145" w:line="221" w:lineRule="auto"/>
              <w:ind w:left="65" w:right="307" w:hanging="4"/>
            </w:pPr>
            <w:r>
              <w:rPr>
                <w:spacing w:val="-1"/>
              </w:rPr>
              <w:t>Boltz2-score</w:t>
            </w:r>
            <w:r>
              <w:t>开启MSA(s)</w:t>
            </w:r>
          </w:p>
        </w:tc>
        <w:tc>
          <w:tcPr>
            <w:tcW w:w="878" w:type="dxa"/>
            <w:shd w:val="clear" w:color="auto" w:fill="EAF1F8"/>
            <w:vAlign w:val="top"/>
          </w:tcPr>
          <w:p w14:paraId="4A4EAEFD">
            <w:pPr>
              <w:pStyle w:val="6"/>
              <w:spacing w:before="126" w:line="223" w:lineRule="auto"/>
              <w:ind w:left="66" w:right="125"/>
            </w:pPr>
            <w:r>
              <w:rPr>
                <w:spacing w:val="1"/>
              </w:rPr>
              <w:t>开启</w:t>
            </w:r>
            <w:r>
              <w:t>MSA</w:t>
            </w:r>
            <w:r>
              <w:rPr>
                <w:spacing w:val="-2"/>
              </w:rPr>
              <w:t>加速比</w:t>
            </w:r>
          </w:p>
        </w:tc>
        <w:tc>
          <w:tcPr>
            <w:tcW w:w="939" w:type="dxa"/>
            <w:shd w:val="clear" w:color="auto" w:fill="EAF1F8"/>
            <w:vAlign w:val="top"/>
          </w:tcPr>
          <w:p w14:paraId="52FCFC34">
            <w:pPr>
              <w:pStyle w:val="6"/>
              <w:spacing w:before="127" w:line="196" w:lineRule="auto"/>
              <w:ind w:left="67"/>
            </w:pPr>
            <w:r>
              <w:rPr>
                <w:spacing w:val="1"/>
              </w:rPr>
              <w:t>开启</w:t>
            </w:r>
            <w:r>
              <w:t>MSA</w:t>
            </w:r>
          </w:p>
          <w:p w14:paraId="2FF53439">
            <w:pPr>
              <w:pStyle w:val="6"/>
              <w:spacing w:before="17" w:line="197" w:lineRule="auto"/>
              <w:ind w:left="67"/>
            </w:pPr>
            <w:r>
              <w:rPr>
                <w:spacing w:val="-2"/>
              </w:rPr>
              <w:t>耗时降低</w:t>
            </w:r>
          </w:p>
        </w:tc>
      </w:tr>
      <w:tr w14:paraId="6FBC52A2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12" w:type="dxa"/>
            <w:vAlign w:val="top"/>
          </w:tcPr>
          <w:p w14:paraId="7E70BE56">
            <w:pPr>
              <w:pStyle w:val="6"/>
              <w:spacing w:before="116" w:line="263" w:lineRule="exact"/>
              <w:ind w:left="67"/>
            </w:pPr>
            <w:r>
              <w:rPr>
                <w:spacing w:val="-3"/>
                <w:position w:val="3"/>
              </w:rPr>
              <w:t>200</w:t>
            </w:r>
          </w:p>
        </w:tc>
        <w:tc>
          <w:tcPr>
            <w:tcW w:w="1048" w:type="dxa"/>
            <w:vAlign w:val="top"/>
          </w:tcPr>
          <w:p w14:paraId="399CE3C1">
            <w:pPr>
              <w:pStyle w:val="6"/>
              <w:spacing w:before="116" w:line="263" w:lineRule="exact"/>
              <w:ind w:left="65"/>
            </w:pPr>
            <w:r>
              <w:rPr>
                <w:spacing w:val="-1"/>
                <w:position w:val="3"/>
              </w:rPr>
              <w:t>5.03</w:t>
            </w:r>
          </w:p>
        </w:tc>
        <w:tc>
          <w:tcPr>
            <w:tcW w:w="1218" w:type="dxa"/>
            <w:vAlign w:val="top"/>
          </w:tcPr>
          <w:p w14:paraId="5663E26C">
            <w:pPr>
              <w:pStyle w:val="6"/>
              <w:spacing w:before="116" w:line="263" w:lineRule="exact"/>
              <w:ind w:left="63"/>
            </w:pPr>
            <w:r>
              <w:rPr>
                <w:position w:val="3"/>
              </w:rPr>
              <w:t>0.62</w:t>
            </w:r>
          </w:p>
        </w:tc>
        <w:tc>
          <w:tcPr>
            <w:tcW w:w="878" w:type="dxa"/>
            <w:vAlign w:val="top"/>
          </w:tcPr>
          <w:p w14:paraId="75944E1A">
            <w:pPr>
              <w:pStyle w:val="6"/>
              <w:spacing w:before="116" w:line="263" w:lineRule="exact"/>
              <w:ind w:left="64"/>
            </w:pPr>
            <w:r>
              <w:rPr>
                <w:spacing w:val="-8"/>
                <w:position w:val="3"/>
              </w:rPr>
              <w:t>8.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8"/>
                <w:position w:val="3"/>
              </w:rPr>
              <w:t>11x</w:t>
            </w:r>
          </w:p>
        </w:tc>
        <w:tc>
          <w:tcPr>
            <w:tcW w:w="935" w:type="dxa"/>
            <w:vAlign w:val="top"/>
          </w:tcPr>
          <w:p w14:paraId="2F7F841E">
            <w:pPr>
              <w:pStyle w:val="6"/>
              <w:spacing w:before="116" w:line="260" w:lineRule="exact"/>
              <w:ind w:left="64"/>
            </w:pPr>
            <w:r>
              <w:rPr>
                <w:spacing w:val="-1"/>
                <w:position w:val="3"/>
              </w:rPr>
              <w:t>87.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7%</w:t>
            </w:r>
          </w:p>
        </w:tc>
        <w:tc>
          <w:tcPr>
            <w:tcW w:w="1048" w:type="dxa"/>
            <w:vAlign w:val="top"/>
          </w:tcPr>
          <w:p w14:paraId="220A3EF1">
            <w:pPr>
              <w:pStyle w:val="6"/>
              <w:spacing w:before="116" w:line="263" w:lineRule="exact"/>
              <w:ind w:left="68"/>
            </w:pPr>
            <w:r>
              <w:rPr>
                <w:spacing w:val="-1"/>
                <w:position w:val="3"/>
              </w:rPr>
              <w:t>59.72</w:t>
            </w:r>
          </w:p>
        </w:tc>
        <w:tc>
          <w:tcPr>
            <w:tcW w:w="1218" w:type="dxa"/>
            <w:vAlign w:val="top"/>
          </w:tcPr>
          <w:p w14:paraId="3226B9E6">
            <w:pPr>
              <w:pStyle w:val="6"/>
              <w:spacing w:before="116" w:line="263" w:lineRule="exact"/>
              <w:ind w:left="68"/>
            </w:pPr>
            <w:r>
              <w:rPr>
                <w:spacing w:val="-1"/>
                <w:position w:val="3"/>
              </w:rPr>
              <w:t>52.12</w:t>
            </w:r>
          </w:p>
        </w:tc>
        <w:tc>
          <w:tcPr>
            <w:tcW w:w="878" w:type="dxa"/>
            <w:vAlign w:val="top"/>
          </w:tcPr>
          <w:p w14:paraId="1D776F51">
            <w:pPr>
              <w:pStyle w:val="6"/>
              <w:spacing w:before="116" w:line="263" w:lineRule="exact"/>
              <w:ind w:left="78"/>
            </w:pPr>
            <w:r>
              <w:rPr>
                <w:spacing w:val="-10"/>
                <w:position w:val="3"/>
              </w:rPr>
              <w:t>1.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-10"/>
                <w:position w:val="3"/>
              </w:rPr>
              <w:t>15x</w:t>
            </w:r>
          </w:p>
        </w:tc>
        <w:tc>
          <w:tcPr>
            <w:tcW w:w="939" w:type="dxa"/>
            <w:vAlign w:val="top"/>
          </w:tcPr>
          <w:p w14:paraId="0F4E32A8">
            <w:pPr>
              <w:pStyle w:val="6"/>
              <w:spacing w:before="116" w:line="260" w:lineRule="exact"/>
              <w:ind w:left="79"/>
            </w:pPr>
            <w:r>
              <w:rPr>
                <w:spacing w:val="-4"/>
                <w:position w:val="3"/>
              </w:rPr>
              <w:t>12.</w:t>
            </w:r>
            <w:r>
              <w:rPr>
                <w:spacing w:val="13"/>
                <w:w w:val="10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7%</w:t>
            </w:r>
          </w:p>
        </w:tc>
      </w:tr>
      <w:tr w14:paraId="7F17E810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12" w:type="dxa"/>
            <w:vAlign w:val="top"/>
          </w:tcPr>
          <w:p w14:paraId="277264D0">
            <w:pPr>
              <w:pStyle w:val="6"/>
              <w:spacing w:before="117" w:line="263" w:lineRule="exact"/>
              <w:ind w:left="64"/>
            </w:pPr>
            <w:r>
              <w:rPr>
                <w:spacing w:val="-3"/>
                <w:position w:val="3"/>
              </w:rPr>
              <w:t>400</w:t>
            </w:r>
          </w:p>
        </w:tc>
        <w:tc>
          <w:tcPr>
            <w:tcW w:w="1048" w:type="dxa"/>
            <w:vAlign w:val="top"/>
          </w:tcPr>
          <w:p w14:paraId="4788672D">
            <w:pPr>
              <w:pStyle w:val="6"/>
              <w:spacing w:before="117" w:line="263" w:lineRule="exact"/>
              <w:ind w:left="63"/>
            </w:pPr>
            <w:r>
              <w:rPr>
                <w:position w:val="3"/>
              </w:rPr>
              <w:t>6.59</w:t>
            </w:r>
          </w:p>
        </w:tc>
        <w:tc>
          <w:tcPr>
            <w:tcW w:w="1218" w:type="dxa"/>
            <w:vAlign w:val="top"/>
          </w:tcPr>
          <w:p w14:paraId="10905C79">
            <w:pPr>
              <w:pStyle w:val="6"/>
              <w:spacing w:before="117" w:line="263" w:lineRule="exact"/>
              <w:ind w:left="75"/>
            </w:pPr>
            <w:r>
              <w:rPr>
                <w:spacing w:val="-2"/>
                <w:position w:val="3"/>
              </w:rPr>
              <w:t>1.09</w:t>
            </w:r>
          </w:p>
        </w:tc>
        <w:tc>
          <w:tcPr>
            <w:tcW w:w="878" w:type="dxa"/>
            <w:vAlign w:val="top"/>
          </w:tcPr>
          <w:p w14:paraId="03CEC08E">
            <w:pPr>
              <w:pStyle w:val="6"/>
              <w:spacing w:before="117" w:line="263" w:lineRule="exact"/>
              <w:ind w:left="64"/>
            </w:pPr>
            <w:r>
              <w:rPr>
                <w:spacing w:val="-6"/>
                <w:position w:val="3"/>
              </w:rPr>
              <w:t>6. 05x</w:t>
            </w:r>
          </w:p>
        </w:tc>
        <w:tc>
          <w:tcPr>
            <w:tcW w:w="935" w:type="dxa"/>
            <w:vAlign w:val="top"/>
          </w:tcPr>
          <w:p w14:paraId="1C8A47F2">
            <w:pPr>
              <w:pStyle w:val="6"/>
              <w:spacing w:before="117" w:line="260" w:lineRule="exact"/>
              <w:ind w:left="64"/>
            </w:pPr>
            <w:r>
              <w:rPr>
                <w:spacing w:val="-1"/>
                <w:position w:val="3"/>
              </w:rPr>
              <w:t>83.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5%</w:t>
            </w:r>
          </w:p>
        </w:tc>
        <w:tc>
          <w:tcPr>
            <w:tcW w:w="1048" w:type="dxa"/>
            <w:vAlign w:val="top"/>
          </w:tcPr>
          <w:p w14:paraId="19B3D930">
            <w:pPr>
              <w:pStyle w:val="6"/>
              <w:spacing w:before="117" w:line="263" w:lineRule="exact"/>
              <w:ind w:left="77"/>
            </w:pPr>
            <w:r>
              <w:rPr>
                <w:spacing w:val="-3"/>
                <w:position w:val="3"/>
              </w:rPr>
              <w:t>111.07</w:t>
            </w:r>
          </w:p>
        </w:tc>
        <w:tc>
          <w:tcPr>
            <w:tcW w:w="1218" w:type="dxa"/>
            <w:vAlign w:val="top"/>
          </w:tcPr>
          <w:p w14:paraId="37276750">
            <w:pPr>
              <w:pStyle w:val="6"/>
              <w:spacing w:before="117" w:line="263" w:lineRule="exact"/>
              <w:ind w:left="78"/>
            </w:pPr>
            <w:r>
              <w:rPr>
                <w:spacing w:val="-3"/>
                <w:position w:val="3"/>
              </w:rPr>
              <w:t>163.18</w:t>
            </w:r>
          </w:p>
        </w:tc>
        <w:tc>
          <w:tcPr>
            <w:tcW w:w="878" w:type="dxa"/>
            <w:vAlign w:val="top"/>
          </w:tcPr>
          <w:p w14:paraId="6E243CC7">
            <w:pPr>
              <w:pStyle w:val="6"/>
              <w:spacing w:before="117" w:line="263" w:lineRule="exact"/>
              <w:ind w:left="67"/>
            </w:pPr>
            <w:r>
              <w:rPr>
                <w:spacing w:val="-6"/>
                <w:position w:val="3"/>
              </w:rPr>
              <w:t>0. 68x</w:t>
            </w:r>
          </w:p>
        </w:tc>
        <w:tc>
          <w:tcPr>
            <w:tcW w:w="939" w:type="dxa"/>
            <w:vAlign w:val="top"/>
          </w:tcPr>
          <w:p w14:paraId="76B4ADE6">
            <w:pPr>
              <w:pStyle w:val="6"/>
              <w:spacing w:before="117" w:line="260" w:lineRule="exact"/>
              <w:ind w:left="65"/>
            </w:pPr>
            <w:r>
              <w:rPr>
                <w:spacing w:val="3"/>
                <w:position w:val="3"/>
              </w:rPr>
              <w:t>-46. 9%</w:t>
            </w:r>
          </w:p>
        </w:tc>
      </w:tr>
      <w:tr w14:paraId="69BBFD6E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12" w:type="dxa"/>
            <w:vAlign w:val="top"/>
          </w:tcPr>
          <w:p w14:paraId="2449E473">
            <w:pPr>
              <w:pStyle w:val="6"/>
              <w:spacing w:before="118" w:line="263" w:lineRule="exact"/>
              <w:ind w:left="66"/>
            </w:pPr>
            <w:r>
              <w:rPr>
                <w:spacing w:val="-3"/>
                <w:position w:val="3"/>
              </w:rPr>
              <w:t>600</w:t>
            </w:r>
          </w:p>
        </w:tc>
        <w:tc>
          <w:tcPr>
            <w:tcW w:w="1048" w:type="dxa"/>
            <w:vAlign w:val="top"/>
          </w:tcPr>
          <w:p w14:paraId="21D09315">
            <w:pPr>
              <w:pStyle w:val="6"/>
              <w:spacing w:before="118" w:line="263" w:lineRule="exact"/>
              <w:ind w:left="62"/>
            </w:pPr>
            <w:r>
              <w:rPr>
                <w:position w:val="3"/>
              </w:rPr>
              <w:t>8.48</w:t>
            </w:r>
          </w:p>
        </w:tc>
        <w:tc>
          <w:tcPr>
            <w:tcW w:w="1218" w:type="dxa"/>
            <w:vAlign w:val="top"/>
          </w:tcPr>
          <w:p w14:paraId="5577B8DB">
            <w:pPr>
              <w:pStyle w:val="6"/>
              <w:spacing w:before="118" w:line="263" w:lineRule="exact"/>
              <w:ind w:left="75"/>
            </w:pPr>
            <w:r>
              <w:rPr>
                <w:spacing w:val="-2"/>
                <w:position w:val="3"/>
              </w:rPr>
              <w:t>1.49</w:t>
            </w:r>
          </w:p>
        </w:tc>
        <w:tc>
          <w:tcPr>
            <w:tcW w:w="878" w:type="dxa"/>
            <w:vAlign w:val="top"/>
          </w:tcPr>
          <w:p w14:paraId="08A2EC13">
            <w:pPr>
              <w:pStyle w:val="6"/>
              <w:spacing w:before="118" w:line="263" w:lineRule="exact"/>
              <w:ind w:left="66"/>
            </w:pPr>
            <w:r>
              <w:rPr>
                <w:spacing w:val="-6"/>
                <w:position w:val="3"/>
              </w:rPr>
              <w:t>5. 69x</w:t>
            </w:r>
          </w:p>
        </w:tc>
        <w:tc>
          <w:tcPr>
            <w:tcW w:w="935" w:type="dxa"/>
            <w:vAlign w:val="top"/>
          </w:tcPr>
          <w:p w14:paraId="4256E972">
            <w:pPr>
              <w:pStyle w:val="6"/>
              <w:spacing w:before="118" w:line="260" w:lineRule="exact"/>
              <w:ind w:left="64"/>
            </w:pPr>
            <w:r>
              <w:rPr>
                <w:spacing w:val="-1"/>
                <w:position w:val="3"/>
              </w:rPr>
              <w:t>82.</w:t>
            </w:r>
            <w:r>
              <w:rPr>
                <w:spacing w:val="7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4%</w:t>
            </w:r>
          </w:p>
        </w:tc>
        <w:tc>
          <w:tcPr>
            <w:tcW w:w="1048" w:type="dxa"/>
            <w:vAlign w:val="top"/>
          </w:tcPr>
          <w:p w14:paraId="054FF3BE">
            <w:pPr>
              <w:pStyle w:val="6"/>
              <w:spacing w:before="118" w:line="263" w:lineRule="exact"/>
              <w:ind w:left="66"/>
            </w:pPr>
            <w:r>
              <w:rPr>
                <w:spacing w:val="-1"/>
                <w:position w:val="3"/>
              </w:rPr>
              <w:t>255.50</w:t>
            </w:r>
          </w:p>
        </w:tc>
        <w:tc>
          <w:tcPr>
            <w:tcW w:w="1218" w:type="dxa"/>
            <w:vAlign w:val="top"/>
          </w:tcPr>
          <w:p w14:paraId="7473BB70">
            <w:pPr>
              <w:pStyle w:val="6"/>
              <w:spacing w:before="118" w:line="263" w:lineRule="exact"/>
              <w:ind w:left="78"/>
            </w:pPr>
            <w:r>
              <w:rPr>
                <w:spacing w:val="-3"/>
                <w:position w:val="3"/>
              </w:rPr>
              <w:t>174.73</w:t>
            </w:r>
          </w:p>
        </w:tc>
        <w:tc>
          <w:tcPr>
            <w:tcW w:w="878" w:type="dxa"/>
            <w:vAlign w:val="top"/>
          </w:tcPr>
          <w:p w14:paraId="2C7D679F">
            <w:pPr>
              <w:pStyle w:val="6"/>
              <w:spacing w:before="118" w:line="263" w:lineRule="exact"/>
              <w:ind w:left="78"/>
            </w:pPr>
            <w:r>
              <w:rPr>
                <w:spacing w:val="-8"/>
                <w:position w:val="3"/>
              </w:rPr>
              <w:t>1.</w:t>
            </w:r>
            <w:r>
              <w:rPr>
                <w:spacing w:val="-6"/>
                <w:position w:val="3"/>
              </w:rPr>
              <w:t xml:space="preserve"> </w:t>
            </w:r>
            <w:r>
              <w:rPr>
                <w:spacing w:val="-8"/>
                <w:position w:val="3"/>
              </w:rPr>
              <w:t>46x</w:t>
            </w:r>
          </w:p>
        </w:tc>
        <w:tc>
          <w:tcPr>
            <w:tcW w:w="939" w:type="dxa"/>
            <w:vAlign w:val="top"/>
          </w:tcPr>
          <w:p w14:paraId="7585BCB8">
            <w:pPr>
              <w:pStyle w:val="6"/>
              <w:spacing w:before="118" w:line="260" w:lineRule="exact"/>
              <w:ind w:left="70"/>
            </w:pPr>
            <w:r>
              <w:rPr>
                <w:spacing w:val="-2"/>
                <w:position w:val="3"/>
              </w:rPr>
              <w:t>31.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6%</w:t>
            </w:r>
          </w:p>
        </w:tc>
      </w:tr>
      <w:tr w14:paraId="21B3CC37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712" w:type="dxa"/>
            <w:shd w:val="clear" w:color="auto" w:fill="F7F7F7"/>
            <w:vAlign w:val="top"/>
          </w:tcPr>
          <w:p w14:paraId="762A9DD1">
            <w:pPr>
              <w:pStyle w:val="6"/>
              <w:spacing w:before="129" w:line="194" w:lineRule="auto"/>
              <w:ind w:left="64"/>
            </w:pPr>
            <w:r>
              <w:rPr>
                <w:spacing w:val="-2"/>
              </w:rPr>
              <w:t>平均</w:t>
            </w:r>
          </w:p>
        </w:tc>
        <w:tc>
          <w:tcPr>
            <w:tcW w:w="1048" w:type="dxa"/>
            <w:shd w:val="clear" w:color="auto" w:fill="F7F7F7"/>
            <w:vAlign w:val="top"/>
          </w:tcPr>
          <w:p w14:paraId="0814C207">
            <w:pPr>
              <w:pStyle w:val="6"/>
              <w:spacing w:before="119" w:line="263" w:lineRule="exact"/>
              <w:ind w:left="63"/>
            </w:pPr>
            <w:r>
              <w:rPr>
                <w:position w:val="3"/>
              </w:rPr>
              <w:t>6.70</w:t>
            </w:r>
          </w:p>
        </w:tc>
        <w:tc>
          <w:tcPr>
            <w:tcW w:w="1218" w:type="dxa"/>
            <w:shd w:val="clear" w:color="auto" w:fill="F7F7F7"/>
            <w:vAlign w:val="top"/>
          </w:tcPr>
          <w:p w14:paraId="624F78E8">
            <w:pPr>
              <w:pStyle w:val="6"/>
              <w:spacing w:before="119" w:line="263" w:lineRule="exact"/>
              <w:ind w:left="75"/>
            </w:pPr>
            <w:r>
              <w:rPr>
                <w:spacing w:val="-2"/>
                <w:position w:val="3"/>
              </w:rPr>
              <w:t>1.07</w:t>
            </w:r>
          </w:p>
        </w:tc>
        <w:tc>
          <w:tcPr>
            <w:tcW w:w="878" w:type="dxa"/>
            <w:shd w:val="clear" w:color="auto" w:fill="F7F7F7"/>
            <w:vAlign w:val="top"/>
          </w:tcPr>
          <w:p w14:paraId="0AAF9580">
            <w:pPr>
              <w:pStyle w:val="6"/>
              <w:spacing w:before="119" w:line="263" w:lineRule="exact"/>
              <w:ind w:left="64"/>
            </w:pPr>
            <w:r>
              <w:rPr>
                <w:spacing w:val="-6"/>
                <w:position w:val="3"/>
              </w:rPr>
              <w:t>6. 28x*</w:t>
            </w:r>
          </w:p>
        </w:tc>
        <w:tc>
          <w:tcPr>
            <w:tcW w:w="935" w:type="dxa"/>
            <w:shd w:val="clear" w:color="auto" w:fill="F7F7F7"/>
            <w:vAlign w:val="top"/>
          </w:tcPr>
          <w:p w14:paraId="54F3C28E">
            <w:pPr>
              <w:pStyle w:val="6"/>
              <w:spacing w:before="119" w:line="260" w:lineRule="exact"/>
              <w:ind w:left="64"/>
            </w:pPr>
            <w:r>
              <w:rPr>
                <w:spacing w:val="-2"/>
                <w:position w:val="3"/>
              </w:rPr>
              <w:t>84.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1%</w:t>
            </w:r>
          </w:p>
        </w:tc>
        <w:tc>
          <w:tcPr>
            <w:tcW w:w="1048" w:type="dxa"/>
            <w:shd w:val="clear" w:color="auto" w:fill="F7F7F7"/>
            <w:vAlign w:val="top"/>
          </w:tcPr>
          <w:p w14:paraId="3541997D">
            <w:pPr>
              <w:pStyle w:val="6"/>
              <w:spacing w:before="119" w:line="263" w:lineRule="exact"/>
              <w:ind w:left="77"/>
            </w:pPr>
            <w:r>
              <w:rPr>
                <w:spacing w:val="-3"/>
                <w:position w:val="3"/>
              </w:rPr>
              <w:t>142.10</w:t>
            </w:r>
          </w:p>
        </w:tc>
        <w:tc>
          <w:tcPr>
            <w:tcW w:w="1218" w:type="dxa"/>
            <w:shd w:val="clear" w:color="auto" w:fill="F7F7F7"/>
            <w:vAlign w:val="top"/>
          </w:tcPr>
          <w:p w14:paraId="08853CC7">
            <w:pPr>
              <w:pStyle w:val="6"/>
              <w:spacing w:before="119" w:line="263" w:lineRule="exact"/>
              <w:ind w:left="78"/>
            </w:pPr>
            <w:r>
              <w:rPr>
                <w:spacing w:val="-3"/>
                <w:position w:val="3"/>
              </w:rPr>
              <w:t>130.01</w:t>
            </w:r>
          </w:p>
        </w:tc>
        <w:tc>
          <w:tcPr>
            <w:tcW w:w="878" w:type="dxa"/>
            <w:shd w:val="clear" w:color="auto" w:fill="F7F7F7"/>
            <w:vAlign w:val="top"/>
          </w:tcPr>
          <w:p w14:paraId="0FC27508">
            <w:pPr>
              <w:pStyle w:val="6"/>
              <w:spacing w:before="119" w:line="263" w:lineRule="exact"/>
              <w:ind w:left="78"/>
            </w:pPr>
            <w:r>
              <w:rPr>
                <w:spacing w:val="-7"/>
                <w:position w:val="3"/>
              </w:rPr>
              <w:t>1. 09x*</w:t>
            </w:r>
          </w:p>
        </w:tc>
        <w:tc>
          <w:tcPr>
            <w:tcW w:w="939" w:type="dxa"/>
            <w:shd w:val="clear" w:color="auto" w:fill="F7F7F7"/>
            <w:vAlign w:val="top"/>
          </w:tcPr>
          <w:p w14:paraId="4B1FEF37">
            <w:pPr>
              <w:pStyle w:val="6"/>
              <w:spacing w:before="119" w:line="260" w:lineRule="exact"/>
              <w:ind w:left="67"/>
            </w:pPr>
            <w:r>
              <w:rPr>
                <w:spacing w:val="-2"/>
                <w:position w:val="3"/>
              </w:rPr>
              <w:t>8.</w:t>
            </w:r>
            <w:r>
              <w:rPr>
                <w:spacing w:val="12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5%</w:t>
            </w:r>
          </w:p>
        </w:tc>
      </w:tr>
    </w:tbl>
    <w:p w14:paraId="25E9C2FF">
      <w:pPr>
        <w:pStyle w:val="2"/>
        <w:spacing w:before="184" w:line="230" w:lineRule="auto"/>
        <w:ind w:left="30"/>
        <w:outlineLvl w:val="1"/>
        <w:rPr>
          <w:rFonts w:hint="eastAsia" w:ascii="微软雅黑" w:hAnsi="微软雅黑" w:eastAsia="微软雅黑" w:cs="微软雅黑"/>
          <w:color w:val="7030A0"/>
          <w:spacing w:val="-13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7030A0"/>
          <w:spacing w:val="-13"/>
          <w:sz w:val="30"/>
          <w:szCs w:val="30"/>
        </w:rPr>
        <w:t>3. 汇总指标</w:t>
      </w:r>
    </w:p>
    <w:p w14:paraId="388F42CE">
      <w:pPr>
        <w:spacing w:line="101" w:lineRule="exact"/>
      </w:pPr>
    </w:p>
    <w:tbl>
      <w:tblPr>
        <w:tblStyle w:val="5"/>
        <w:tblW w:w="9242" w:type="dxa"/>
        <w:tblInd w:w="499" w:type="dxa"/>
        <w:tblBorders>
          <w:top w:val="single" w:color="999999" w:sz="2" w:space="0"/>
          <w:left w:val="single" w:color="999999" w:sz="2" w:space="0"/>
          <w:bottom w:val="single" w:color="999999" w:sz="2" w:space="0"/>
          <w:right w:val="single" w:color="999999" w:sz="2" w:space="0"/>
          <w:insideH w:val="single" w:color="999999" w:sz="2" w:space="0"/>
          <w:insideV w:val="single" w:color="999999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3"/>
        <w:gridCol w:w="3569"/>
        <w:gridCol w:w="3970"/>
      </w:tblGrid>
      <w:tr w14:paraId="123E213B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703" w:type="dxa"/>
            <w:shd w:val="clear" w:color="auto" w:fill="EAF1F8"/>
            <w:vAlign w:val="top"/>
          </w:tcPr>
          <w:p w14:paraId="36765A05">
            <w:pPr>
              <w:pStyle w:val="6"/>
              <w:spacing w:before="126" w:line="197" w:lineRule="auto"/>
              <w:ind w:left="127"/>
            </w:pPr>
            <w:r>
              <w:rPr>
                <w:spacing w:val="-3"/>
              </w:rPr>
              <w:t>指标</w:t>
            </w:r>
          </w:p>
        </w:tc>
        <w:tc>
          <w:tcPr>
            <w:tcW w:w="3569" w:type="dxa"/>
            <w:shd w:val="clear" w:color="auto" w:fill="EAF1F8"/>
            <w:vAlign w:val="top"/>
          </w:tcPr>
          <w:p w14:paraId="608D5C9E">
            <w:pPr>
              <w:pStyle w:val="6"/>
              <w:spacing w:before="126" w:line="196" w:lineRule="auto"/>
              <w:ind w:left="124"/>
            </w:pPr>
            <w:r>
              <w:rPr>
                <w:spacing w:val="-2"/>
              </w:rPr>
              <w:t>数值</w:t>
            </w:r>
          </w:p>
        </w:tc>
        <w:tc>
          <w:tcPr>
            <w:tcW w:w="3970" w:type="dxa"/>
            <w:shd w:val="clear" w:color="auto" w:fill="EAF1F8"/>
            <w:vAlign w:val="top"/>
          </w:tcPr>
          <w:p w14:paraId="7EBA220B">
            <w:pPr>
              <w:pStyle w:val="6"/>
              <w:spacing w:before="127" w:line="195" w:lineRule="auto"/>
              <w:ind w:left="129"/>
            </w:pPr>
            <w:r>
              <w:rPr>
                <w:spacing w:val="-3"/>
              </w:rPr>
              <w:t>结论</w:t>
            </w:r>
          </w:p>
        </w:tc>
      </w:tr>
      <w:tr w14:paraId="4AE78DD1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703" w:type="dxa"/>
            <w:vAlign w:val="top"/>
          </w:tcPr>
          <w:p w14:paraId="40172526">
            <w:pPr>
              <w:pStyle w:val="6"/>
              <w:spacing w:before="126" w:line="196" w:lineRule="auto"/>
              <w:ind w:left="127"/>
            </w:pPr>
            <w:r>
              <w:t>关闭MSA总耗时</w:t>
            </w:r>
          </w:p>
        </w:tc>
        <w:tc>
          <w:tcPr>
            <w:tcW w:w="3569" w:type="dxa"/>
            <w:vAlign w:val="top"/>
          </w:tcPr>
          <w:p w14:paraId="5FAEC078">
            <w:pPr>
              <w:pStyle w:val="6"/>
              <w:spacing w:before="117" w:line="226" w:lineRule="auto"/>
              <w:ind w:left="119"/>
            </w:pPr>
            <w:r>
              <w:rPr>
                <w:spacing w:val="-5"/>
              </w:rPr>
              <w:t>Boltz2:</w:t>
            </w:r>
            <w:r>
              <w:rPr>
                <w:spacing w:val="36"/>
              </w:rPr>
              <w:t xml:space="preserve"> </w:t>
            </w:r>
            <w:r>
              <w:rPr>
                <w:spacing w:val="-5"/>
              </w:rPr>
              <w:t>20. 10s；Boltz2-score: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3. 20s</w:t>
            </w:r>
          </w:p>
        </w:tc>
        <w:tc>
          <w:tcPr>
            <w:tcW w:w="3970" w:type="dxa"/>
            <w:vAlign w:val="top"/>
          </w:tcPr>
          <w:p w14:paraId="7B494F3B">
            <w:pPr>
              <w:pStyle w:val="6"/>
              <w:spacing w:before="116" w:line="227" w:lineRule="auto"/>
              <w:ind w:left="130"/>
            </w:pPr>
            <w:r>
              <w:rPr>
                <w:spacing w:val="-3"/>
              </w:rPr>
              <w:t>总加速 6. 28x，耗时降低 84.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1%</w:t>
            </w:r>
          </w:p>
        </w:tc>
      </w:tr>
      <w:tr w14:paraId="751FB28F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703" w:type="dxa"/>
            <w:vAlign w:val="top"/>
          </w:tcPr>
          <w:p w14:paraId="260A9403">
            <w:pPr>
              <w:pStyle w:val="6"/>
              <w:spacing w:before="126" w:line="197" w:lineRule="auto"/>
              <w:ind w:left="125"/>
            </w:pPr>
            <w:r>
              <w:t>开启MSA总耗时</w:t>
            </w:r>
          </w:p>
        </w:tc>
        <w:tc>
          <w:tcPr>
            <w:tcW w:w="3569" w:type="dxa"/>
            <w:vAlign w:val="top"/>
          </w:tcPr>
          <w:p w14:paraId="344AE7AB">
            <w:pPr>
              <w:pStyle w:val="6"/>
              <w:spacing w:before="118" w:line="226" w:lineRule="auto"/>
              <w:ind w:left="119"/>
            </w:pPr>
            <w:r>
              <w:rPr>
                <w:spacing w:val="-4"/>
              </w:rPr>
              <w:t>Boltz2: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4"/>
              </w:rPr>
              <w:t>426. 29s；Boltz2-score</w:t>
            </w:r>
            <w:r>
              <w:rPr>
                <w:spacing w:val="-5"/>
              </w:rPr>
              <w:t>: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390. 03s</w:t>
            </w:r>
          </w:p>
        </w:tc>
        <w:tc>
          <w:tcPr>
            <w:tcW w:w="3970" w:type="dxa"/>
            <w:vAlign w:val="top"/>
          </w:tcPr>
          <w:p w14:paraId="48A2EF38">
            <w:pPr>
              <w:pStyle w:val="6"/>
              <w:spacing w:before="117" w:line="227" w:lineRule="auto"/>
              <w:ind w:left="130"/>
            </w:pPr>
            <w:r>
              <w:rPr>
                <w:spacing w:val="-3"/>
              </w:rPr>
              <w:t>总加速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3"/>
              </w:rPr>
              <w:t>1. 09x，耗时降低 8. 5%</w:t>
            </w:r>
          </w:p>
        </w:tc>
      </w:tr>
      <w:tr w14:paraId="23B26588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703" w:type="dxa"/>
            <w:vAlign w:val="top"/>
          </w:tcPr>
          <w:p w14:paraId="583CFE8D">
            <w:pPr>
              <w:pStyle w:val="6"/>
              <w:spacing w:before="126" w:line="196" w:lineRule="auto"/>
              <w:ind w:left="125"/>
            </w:pPr>
            <w:r>
              <w:rPr>
                <w:spacing w:val="-2"/>
              </w:rPr>
              <w:t>全数据合计</w:t>
            </w:r>
          </w:p>
        </w:tc>
        <w:tc>
          <w:tcPr>
            <w:tcW w:w="3569" w:type="dxa"/>
            <w:vAlign w:val="top"/>
          </w:tcPr>
          <w:p w14:paraId="0F31BD08">
            <w:pPr>
              <w:pStyle w:val="6"/>
              <w:spacing w:before="119" w:line="226" w:lineRule="auto"/>
              <w:ind w:left="119"/>
            </w:pPr>
            <w:r>
              <w:rPr>
                <w:spacing w:val="-4"/>
              </w:rPr>
              <w:t>Boltz2: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446. 39s；Boltz2-score: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393. 23s</w:t>
            </w:r>
          </w:p>
        </w:tc>
        <w:tc>
          <w:tcPr>
            <w:tcW w:w="3970" w:type="dxa"/>
            <w:vAlign w:val="top"/>
          </w:tcPr>
          <w:p w14:paraId="3B9A93A5">
            <w:pPr>
              <w:pStyle w:val="6"/>
              <w:spacing w:before="119" w:line="229" w:lineRule="auto"/>
              <w:ind w:left="130"/>
            </w:pPr>
            <w:r>
              <w:rPr>
                <w:spacing w:val="-7"/>
              </w:rPr>
              <w:t>总体约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7"/>
              </w:rPr>
              <w:t>1. 14x 加速</w:t>
            </w:r>
          </w:p>
        </w:tc>
      </w:tr>
    </w:tbl>
    <w:p w14:paraId="0FFE435E">
      <w:pPr>
        <w:rPr>
          <w:rFonts w:ascii="Arial"/>
          <w:sz w:val="21"/>
        </w:rPr>
      </w:pPr>
    </w:p>
    <w:p w14:paraId="78682695"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1906" w:h="16838"/>
          <w:pgMar w:top="810" w:right="850" w:bottom="725" w:left="832" w:header="0" w:footer="474" w:gutter="0"/>
          <w:cols w:space="720" w:num="1"/>
        </w:sectPr>
      </w:pPr>
    </w:p>
    <w:p w14:paraId="4B9C4479">
      <w:pPr>
        <w:pStyle w:val="2"/>
        <w:spacing w:before="184" w:line="230" w:lineRule="auto"/>
        <w:ind w:left="30"/>
        <w:outlineLvl w:val="1"/>
        <w:rPr>
          <w:rFonts w:hint="eastAsia" w:ascii="微软雅黑" w:hAnsi="微软雅黑" w:eastAsia="微软雅黑" w:cs="微软雅黑"/>
          <w:color w:val="7030A0"/>
          <w:spacing w:val="-13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7030A0"/>
          <w:spacing w:val="-13"/>
          <w:sz w:val="30"/>
          <w:szCs w:val="30"/>
        </w:rPr>
        <w:t>4. 图表分析</w:t>
      </w:r>
    </w:p>
    <w:p w14:paraId="1871D386">
      <w:pPr>
        <w:pStyle w:val="2"/>
        <w:spacing w:before="132" w:line="248" w:lineRule="auto"/>
        <w:ind w:right="3578" w:firstLine="25"/>
      </w:pPr>
      <w:r>
        <w:rPr>
          <w:spacing w:val="-3"/>
        </w:rPr>
        <w:t>图</w:t>
      </w:r>
      <w:r>
        <w:rPr>
          <w:spacing w:val="31"/>
          <w:w w:val="101"/>
        </w:rPr>
        <w:t xml:space="preserve"> </w:t>
      </w:r>
      <w:r>
        <w:rPr>
          <w:spacing w:val="-3"/>
        </w:rPr>
        <w:t>1 显示关闭 MSA时，Boltz2-score 在 200/400/600 三种长度下均显著快于</w:t>
      </w:r>
      <w:r>
        <w:rPr>
          <w:spacing w:val="-2"/>
        </w:rPr>
        <w:t>Boltz2，且时间随长度增长保持在较</w:t>
      </w:r>
      <w:r>
        <w:rPr>
          <w:spacing w:val="-3"/>
        </w:rPr>
        <w:t>低水平。</w:t>
      </w:r>
    </w:p>
    <w:p w14:paraId="660D3AD6">
      <w:pPr>
        <w:spacing w:before="102" w:line="5103" w:lineRule="exact"/>
        <w:ind w:firstLine="528"/>
      </w:pPr>
      <w:r>
        <w:rPr>
          <w:position w:val="-102"/>
        </w:rPr>
        <w:drawing>
          <wp:inline distT="0" distB="0" distL="0" distR="0">
            <wp:extent cx="5831840" cy="32397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8DB772">
      <w:pPr>
        <w:pStyle w:val="2"/>
        <w:spacing w:before="286" w:line="248" w:lineRule="auto"/>
        <w:ind w:left="5" w:right="820" w:firstLine="19"/>
      </w:pPr>
      <w:r>
        <w:rPr>
          <w:spacing w:val="-2"/>
        </w:rPr>
        <w:t>图 2 显示开启 MSA后，整体耗时大幅升高，尤其是 Boltz2 在 600 长度下达到 255. 50s。Boltz2-s</w:t>
      </w:r>
      <w:r>
        <w:rPr>
          <w:spacing w:val="-3"/>
        </w:rPr>
        <w:t>core 在 400</w:t>
      </w:r>
      <w:r>
        <w:rPr>
          <w:spacing w:val="-2"/>
        </w:rPr>
        <w:t>长度下反而更慢，提示 MSA 阶段可能引入较强波动。</w:t>
      </w:r>
    </w:p>
    <w:p w14:paraId="03A3E591">
      <w:pPr>
        <w:spacing w:before="103" w:line="5102" w:lineRule="exact"/>
        <w:ind w:firstLine="528"/>
      </w:pPr>
      <w:r>
        <w:rPr>
          <w:position w:val="-102"/>
        </w:rPr>
        <w:drawing>
          <wp:inline distT="0" distB="0" distL="0" distR="0">
            <wp:extent cx="5831840" cy="323977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EB24">
      <w:pPr>
        <w:spacing w:line="5102" w:lineRule="exact"/>
        <w:sectPr>
          <w:footerReference r:id="rId6" w:type="default"/>
          <w:pgSz w:w="11906" w:h="16838"/>
          <w:pgMar w:top="824" w:right="850" w:bottom="725" w:left="832" w:header="0" w:footer="474" w:gutter="0"/>
          <w:cols w:space="720" w:num="1"/>
        </w:sectPr>
      </w:pPr>
    </w:p>
    <w:p w14:paraId="6F1F8C8C">
      <w:pPr>
        <w:pStyle w:val="2"/>
        <w:spacing w:before="184" w:line="230" w:lineRule="auto"/>
        <w:ind w:left="30"/>
        <w:outlineLvl w:val="1"/>
        <w:rPr>
          <w:rFonts w:hint="eastAsia" w:ascii="微软雅黑" w:hAnsi="微软雅黑" w:eastAsia="微软雅黑" w:cs="微软雅黑"/>
          <w:color w:val="7030A0"/>
          <w:spacing w:val="-13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7030A0"/>
          <w:spacing w:val="-13"/>
          <w:sz w:val="30"/>
          <w:szCs w:val="30"/>
        </w:rPr>
        <w:t>5. 加速比与总耗时</w:t>
      </w:r>
    </w:p>
    <w:p w14:paraId="70488175">
      <w:pPr>
        <w:pStyle w:val="2"/>
        <w:spacing w:before="129" w:line="267" w:lineRule="auto"/>
        <w:ind w:left="5" w:right="809" w:hanging="1"/>
      </w:pPr>
      <w:r>
        <w:rPr>
          <w:spacing w:val="-1"/>
        </w:rPr>
        <w:t>加速比大于</w:t>
      </w:r>
      <w:r>
        <w:rPr>
          <w:spacing w:val="14"/>
          <w:w w:val="101"/>
        </w:rPr>
        <w:t xml:space="preserve"> </w:t>
      </w:r>
      <w:r>
        <w:rPr>
          <w:spacing w:val="-1"/>
        </w:rPr>
        <w:t xml:space="preserve">1 表示 Boltz2-score 更快。关闭 MSA时加速比稳定在 </w:t>
      </w:r>
      <w:r>
        <w:rPr>
          <w:spacing w:val="-2"/>
        </w:rPr>
        <w:t>5. 69x-8.</w:t>
      </w:r>
      <w:r>
        <w:rPr>
          <w:spacing w:val="19"/>
          <w:w w:val="101"/>
        </w:rPr>
        <w:t xml:space="preserve"> </w:t>
      </w:r>
      <w:r>
        <w:rPr>
          <w:spacing w:val="-2"/>
        </w:rPr>
        <w:t>11x；开启 MSA时加速比波动为</w:t>
      </w:r>
      <w:r>
        <w:rPr>
          <w:spacing w:val="-8"/>
        </w:rPr>
        <w:t>0. 68x-1.</w:t>
      </w:r>
      <w:r>
        <w:rPr>
          <w:spacing w:val="2"/>
        </w:rPr>
        <w:t xml:space="preserve"> </w:t>
      </w:r>
      <w:r>
        <w:rPr>
          <w:spacing w:val="-8"/>
        </w:rPr>
        <w:t>46x。</w:t>
      </w:r>
    </w:p>
    <w:p w14:paraId="2C1E9158">
      <w:pPr>
        <w:spacing w:before="55" w:line="5102" w:lineRule="exact"/>
        <w:ind w:firstLine="528"/>
      </w:pPr>
      <w:r>
        <w:rPr>
          <w:position w:val="-102"/>
        </w:rPr>
        <w:drawing>
          <wp:inline distT="0" distB="0" distL="0" distR="0">
            <wp:extent cx="5831840" cy="32397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BF10">
      <w:pPr>
        <w:pStyle w:val="2"/>
        <w:spacing w:before="296" w:line="268" w:lineRule="auto"/>
        <w:ind w:left="5" w:right="3047"/>
      </w:pPr>
      <w:r>
        <w:t>合计耗时进一步说明：关闭 MSA时 Boltz2-</w:t>
      </w:r>
      <w:r>
        <w:rPr>
          <w:spacing w:val="-26"/>
        </w:rPr>
        <w:t xml:space="preserve"> </w:t>
      </w:r>
      <w:r>
        <w:t>score</w:t>
      </w:r>
      <w:r>
        <w:rPr>
          <w:spacing w:val="28"/>
        </w:rPr>
        <w:t xml:space="preserve"> </w:t>
      </w:r>
      <w:r>
        <w:t>的优化效果最突出；开启 MSA</w:t>
      </w:r>
      <w:r>
        <w:rPr>
          <w:spacing w:val="-3"/>
        </w:rPr>
        <w:t>后仍有总体加速，但幅度明显下降。</w:t>
      </w:r>
    </w:p>
    <w:p w14:paraId="14509D7D">
      <w:pPr>
        <w:spacing w:before="42" w:line="4762" w:lineRule="exact"/>
        <w:ind w:firstLine="528"/>
      </w:pPr>
      <w:r>
        <w:rPr>
          <w:position w:val="-95"/>
        </w:rPr>
        <w:drawing>
          <wp:inline distT="0" distB="0" distL="0" distR="0">
            <wp:extent cx="5831840" cy="30238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B541">
      <w:pPr>
        <w:pStyle w:val="2"/>
        <w:spacing w:before="129" w:line="251" w:lineRule="auto"/>
        <w:ind w:left="6" w:right="125" w:hanging="6"/>
      </w:pPr>
    </w:p>
    <w:sectPr>
      <w:footerReference r:id="rId7" w:type="default"/>
      <w:pgSz w:w="11906" w:h="16838"/>
      <w:pgMar w:top="824" w:right="850" w:bottom="725" w:left="832" w:header="0" w:footer="47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思源宋体">
    <w:panose1 w:val="02020700000000000000"/>
    <w:charset w:val="86"/>
    <w:family w:val="auto"/>
    <w:pitch w:val="default"/>
    <w:sig w:usb0="30000083" w:usb1="2BDF3C10" w:usb2="00000016" w:usb3="00000000" w:csb0="602E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354BE">
    <w:pPr>
      <w:pStyle w:val="2"/>
      <w:spacing w:line="220" w:lineRule="auto"/>
      <w:jc w:val="right"/>
      <w:rPr>
        <w:sz w:val="18"/>
        <w:szCs w:val="18"/>
      </w:rPr>
    </w:pPr>
    <w:r>
      <w:rPr>
        <w:spacing w:val="-17"/>
        <w:sz w:val="18"/>
        <w:szCs w:val="18"/>
      </w:rPr>
      <w:t>第</w:t>
    </w:r>
    <w:r>
      <w:rPr>
        <w:spacing w:val="13"/>
        <w:w w:val="101"/>
        <w:sz w:val="18"/>
        <w:szCs w:val="18"/>
      </w:rPr>
      <w:t xml:space="preserve"> </w:t>
    </w:r>
    <w:r>
      <w:rPr>
        <w:spacing w:val="-17"/>
        <w:sz w:val="18"/>
        <w:szCs w:val="18"/>
      </w:rPr>
      <w:t>1</w:t>
    </w:r>
    <w:r>
      <w:rPr>
        <w:spacing w:val="3"/>
        <w:sz w:val="18"/>
        <w:szCs w:val="18"/>
      </w:rPr>
      <w:t xml:space="preserve"> </w:t>
    </w:r>
    <w:r>
      <w:rPr>
        <w:spacing w:val="-8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4B629">
    <w:pPr>
      <w:pStyle w:val="2"/>
      <w:spacing w:line="220" w:lineRule="auto"/>
      <w:jc w:val="right"/>
      <w:rPr>
        <w:sz w:val="18"/>
        <w:szCs w:val="18"/>
      </w:rPr>
    </w:pPr>
    <w:r>
      <w:rPr>
        <w:spacing w:val="-7"/>
        <w:sz w:val="18"/>
        <w:szCs w:val="18"/>
      </w:rPr>
      <w:t>第 2</w:t>
    </w:r>
    <w:r>
      <w:rPr>
        <w:spacing w:val="3"/>
        <w:sz w:val="18"/>
        <w:szCs w:val="18"/>
      </w:rPr>
      <w:t xml:space="preserve"> </w:t>
    </w:r>
    <w:r>
      <w:rPr>
        <w:spacing w:val="-7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C5782">
    <w:pPr>
      <w:pStyle w:val="2"/>
      <w:spacing w:line="220" w:lineRule="auto"/>
      <w:jc w:val="right"/>
      <w:rPr>
        <w:sz w:val="18"/>
        <w:szCs w:val="18"/>
      </w:rPr>
    </w:pPr>
    <w:r>
      <w:rPr>
        <w:spacing w:val="-13"/>
        <w:sz w:val="18"/>
        <w:szCs w:val="18"/>
      </w:rPr>
      <w:t>第</w:t>
    </w:r>
    <w:r>
      <w:rPr>
        <w:spacing w:val="4"/>
        <w:sz w:val="18"/>
        <w:szCs w:val="18"/>
      </w:rPr>
      <w:t xml:space="preserve"> </w:t>
    </w:r>
    <w:r>
      <w:rPr>
        <w:spacing w:val="-12"/>
        <w:sz w:val="18"/>
        <w:szCs w:val="18"/>
      </w:rPr>
      <w:t>3</w:t>
    </w:r>
    <w:r>
      <w:rPr>
        <w:spacing w:val="4"/>
        <w:sz w:val="18"/>
        <w:szCs w:val="18"/>
      </w:rPr>
      <w:t xml:space="preserve"> </w:t>
    </w:r>
    <w:r>
      <w:rPr>
        <w:spacing w:val="-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7A643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华文宋体" w:hAnsi="华文宋体" w:eastAsia="华文宋体" w:cs="华文宋体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华文宋体" w:hAnsi="华文宋体" w:eastAsia="华文宋体" w:cs="华文宋体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719</Words>
  <Characters>1293</Characters>
  <TotalTime>5</TotalTime>
  <ScaleCrop>false</ScaleCrop>
  <LinksUpToDate>false</LinksUpToDate>
  <CharactersWithSpaces>1427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2026-05-23T12:05:00Z</dcterms:created>
  <dc:creator>(anonymous)</dc:creator>
  <cp:lastModifiedBy>Sophitia</cp:lastModifiedBy>
  <dcterms:modified xsi:type="dcterms:W3CDTF">2026-05-23T12:19:33Z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2026-05-23T20:14:29Z</vt:filetime>
  </property>
  <property fmtid="{D5CDD505-2E9C-101B-9397-08002B2CF9AE}" pid="4" name="KSOTemplateDocerSaveRecord">
    <vt:lpwstr>eyJoZGlkIjoiMjg2NGQzZWI0YjJiZmE1MjQ0NGFmODRlOGMxODZkODIiLCJ1c2VySWQiOiIyNTgzMDgxMzYifQ==</vt:lpwstr>
  </property>
  <property fmtid="{D5CDD505-2E9C-101B-9397-08002B2CF9AE}" pid="5" name="KSOProductBuildVer">
    <vt:lpwstr>2052-12.1.0.26375</vt:lpwstr>
  </property>
  <property fmtid="{D5CDD505-2E9C-101B-9397-08002B2CF9AE}" pid="6" name="ICV">
    <vt:lpwstr>7671145749AF421EB4D93076DFBDE037_12</vt:lpwstr>
  </property>
</Properties>
</file>