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FPGA载带视觉检测项目</w:t>
        <w:br/>
        <w:t>方向与可行性说明</w:t>
      </w:r>
    </w:p>
    <w:p>
      <w:r>
        <w:rPr>
          <w:b/>
        </w:rPr>
        <w:t>项目名称  基于安路FPGA的电子元件载带视觉检测系统</w:t>
      </w:r>
    </w:p>
    <w:p>
      <w:r>
        <w:rPr>
          <w:b w:val="0"/>
          <w:sz w:val="18"/>
        </w:rPr>
        <w:t>导师交流稿  |  2026年9月17日  |  计划周期约六周</w:t>
      </w:r>
    </w:p>
    <w:p>
      <w:r>
        <w:rPr>
          <w:b/>
        </w:rPr>
        <w:t>拟用摄像头观察载带中的元件，由FPGA实时判断缺件、位置或方向异常，在显示器上标注结果并记录异常穴位编号。整条检测结束后，按清单交由人工维修。第一版取消精准停车。</w:t>
      </w:r>
    </w:p>
    <w:p>
      <w:pPr>
        <w:pStyle w:val="Heading1"/>
      </w:pPr>
      <w:r>
        <w:t>一  做什么与怎样工作</w:t>
      </w:r>
    </w:p>
    <w:p>
      <w:r>
        <w:rPr>
          <w:b w:val="0"/>
        </w:rPr>
        <w:t>载带可理解为装元件的连续“小格子”。本项目检查每个格子中是否有料、是否放正，并尝试依据顶部标记识别装反。首版限定一种元件和一种载带。</w:t>
      </w:r>
    </w:p>
    <w:p>
      <w:pPr>
        <w:jc w:val="center"/>
      </w:pPr>
      <w:r>
        <w:rPr>
          <w:b/>
        </w:rPr>
        <w:t>载带送料 → 摄像头采集 → FPGA局部图像检测</w:t>
        <w:br/>
        <w:t>↓</w:t>
        <w:br/>
        <w:t>HDMI显示结果与缺陷清单 → 整条交接 → 人工定位维修</w:t>
      </w:r>
    </w:p>
    <w:p>
      <w:pPr>
        <w:pStyle w:val="Heading1"/>
      </w:pPr>
      <w:r>
        <w:t>二  检测功能分层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3061"/>
        <w:gridCol w:w="5329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FF5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FF5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大致判断方法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FF5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实现条件与安排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空穴与缺件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穴内亮度、面积或模板差异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首项必做；空穴和有料必须可稳定区分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明显偏位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元件中心与正常位置比较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补偿载带偏移后验证，优先候选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明显旋转与歪斜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长边方向或区域分布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外形具有方向特征，优先候选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极性装反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色带、圆点或缺口所在一侧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顶部标记清晰可见时加入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翻面与侧立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外形、面积及表面差异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与正常外观差异明显时探索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明显错料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尺寸、颜色、外形或标记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仅针对外观可区分的已知样品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明显破损与异物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轮廓或异常区域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缺陷足够大且无遮挡时探索</w:t>
            </w:r>
          </w:p>
        </w:tc>
      </w:tr>
    </w:tbl>
    <w:p>
      <w:pPr>
        <w:spacing w:after="0"/>
      </w:pPr>
    </w:p>
    <w:p>
      <w:r>
        <w:rPr>
          <w:b w:val="0"/>
          <w:sz w:val="20"/>
        </w:rPr>
        <w:t>极性检测可以加入，但检测的是外观标记所代表的装载方向，不是电气测量。无外观差异的错料、阻容值、电性能和隐藏缺陷不属于本阶段承诺。</w:t>
      </w:r>
    </w:p>
    <w:p>
      <w:r>
        <w:rPr>
          <w:b/>
        </w:rPr>
        <w:t>第一版目标：空穴检测＋实时显示＋安路Logo；成像验证后，再从偏位、旋转、极性中加入一种最稳定的检测。上述候选均不代表已经实现。</w:t>
      </w:r>
    </w:p>
    <w:p>
      <w:r>
        <w:br w:type="page"/>
      </w:r>
    </w:p>
    <w:p>
      <w:pPr>
        <w:pStyle w:val="Heading1"/>
      </w:pPr>
      <w:r>
        <w:t>三  板卡资源是否足够</w:t>
      </w:r>
    </w:p>
    <w:p>
      <w:r>
        <w:rPr>
          <w:b w:val="0"/>
        </w:rPr>
        <w:t>目标平台为赛题指定的HX1P35A开发板，FPGA为PH1P35MDG324。官方Lab 1已提供MIPI、图像处理前端、DDR帧缓存和HDMI视频底座。[1][2]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1928"/>
        <w:gridCol w:w="3515"/>
        <w:gridCol w:w="2098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FF5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资源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FF5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总量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FF5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Lab 1占用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FF5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算术剩余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Slice逻辑单元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21,216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12,187（57.44%）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9,029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寄存器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42,432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13,318（31.39%）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29,114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ERAM存储块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108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31（28.70%）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77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DSP计算单元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8（20%）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32</w:t>
            </w:r>
          </w:p>
        </w:tc>
      </w:tr>
    </w:tbl>
    <w:p>
      <w:pPr>
        <w:spacing w:after="0"/>
      </w:pPr>
    </w:p>
    <w:p>
      <w:r>
        <w:rPr>
          <w:b/>
        </w:rPr>
        <w:t>判断：有依据继续使用现有板卡做轻量检测，暂不需要换板。剩余数量不等于所有功能都能加入；完整设计须重新综合、布局布线和上板验证。</w:t>
      </w:r>
    </w:p>
    <w:p>
      <w:r>
        <w:rPr>
          <w:b w:val="0"/>
        </w:rPr>
        <w:t>实现策略：沿用Lab 1视频底座，检测只计算局部图像区域的面积、位置及标记差异；共享计算单元，用ERAM存储字模与缺陷记录，制作轻量结果叠加，保留安路Logo。避免直接堆叠全部官方例程。</w:t>
      </w:r>
    </w:p>
    <w:p>
      <w:r>
        <w:rPr>
          <w:b w:val="0"/>
          <w:sz w:val="20"/>
        </w:rPr>
        <w:t xml:space="preserve">时序风险：Lab 1、Lab 2边缘检测、Lab 3完整OSD的最差建立余量分别为0.629、0.234、0.121 ns。它们是不同官方工程，不能视为本项目结果；时序覆盖率分别为95.64%、94.31%、96.29%，后续还需核对约束。[2] </w:t>
      </w:r>
    </w:p>
    <w:p>
      <w:pPr>
        <w:pStyle w:val="Heading1"/>
      </w:pPr>
      <w:r>
        <w:t>四  是否符合赛题方向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917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FF5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赛题要求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FF5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本项目拟对应实现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基础至少完成四项中的三项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按四项安排：MIPI采集与HDMI；FPGA图像处理；稳定视频；图形文字及安路Logo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FPGA处理并输出处理后视频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提供可观察的灰度或二值化结果画面，避免仅内部计算而无处理结果展示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扩展至少完成一项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目标检测与识别，并在画面中叠加结果；缺陷清单体现实际用途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最终设计部署要求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所有展示功能集成在同一设计中，固化后上电运行，无需PC再次下载</w:t>
            </w:r>
          </w:p>
        </w:tc>
      </w:tr>
    </w:tbl>
    <w:p>
      <w:pPr>
        <w:spacing w:after="0"/>
      </w:pPr>
    </w:p>
    <w:p>
      <w:r>
        <w:rPr>
          <w:b/>
        </w:rPr>
        <w:t>结论：方案与赛题方向匹配，取消精准停车不影响按目标检测扩展方向开展；当前尚不能写成已满足最终验收要求。[1]</w:t>
      </w:r>
    </w:p>
    <w:p>
      <w:pPr>
        <w:pStyle w:val="Heading1"/>
      </w:pPr>
      <w:r>
        <w:t>五  当前进度与完成把握</w:t>
      </w:r>
    </w:p>
    <w:p>
      <w:r>
        <w:rPr>
          <w:b w:val="0"/>
          <w:sz w:val="20"/>
        </w:rPr>
        <w:t>截至本次沟通，尚未跑通官方视频，实物检测特征待验证，准备时间约一个半月。固定样品空穴检测有较好的实现基础；偏位和极性有条件可行；连续编号可靠性是主要集成难点。没有足够证据给出可信的成功率百分比，也不承诺通用识别或工业级准确率。</w:t>
      </w:r>
    </w:p>
    <w:p>
      <w:r>
        <w:br w:type="page"/>
      </w:r>
    </w:p>
    <w:p>
      <w:pPr>
        <w:pStyle w:val="Heading1"/>
      </w:pPr>
      <w:r>
        <w:t>六  六周实施路线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2494"/>
        <w:gridCol w:w="6463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FF5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FF5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主要工作</w:t>
            </w:r>
          </w:p>
        </w:tc>
        <w:tc>
          <w:tcPr>
            <w:tcW w:type="dxa" w:w="64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FF5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阶段检查点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第1周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视频与成像验证</w:t>
            </w:r>
          </w:p>
        </w:tc>
        <w:tc>
          <w:tcPr>
            <w:tcW w:type="dxa" w:w="64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官方视频、固化冷启动；毫米尺视场和正常／异常样品清晰度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第2周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静态空穴检测</w:t>
            </w:r>
          </w:p>
        </w:tc>
        <w:tc>
          <w:tcPr>
            <w:tcW w:type="dxa" w:w="64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先用图片验证特征，再移植FPGA；显示检测区域、结果与Logo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第3周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增加一种检测</w:t>
            </w:r>
          </w:p>
        </w:tc>
        <w:tc>
          <w:tcPr>
            <w:tcW w:type="dxa" w:w="64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选偏位、旋转或极性中最稳定者；保存误检漏检及资源时序结果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第4周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连续检测与编号</w:t>
            </w:r>
          </w:p>
        </w:tc>
        <w:tc>
          <w:tcPr>
            <w:tcW w:type="dxa" w:w="64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明确起点与方向；避免重复计数；编号失可信时标记无效并重检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第5周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缺陷清单与维修交接</w:t>
            </w:r>
          </w:p>
        </w:tc>
        <w:tc>
          <w:tcPr>
            <w:tcW w:type="dxa" w:w="64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穴位号、类型、有效状态可分页查看；满容量提示且不静默覆盖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第6周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联合验证与演示</w:t>
            </w:r>
          </w:p>
        </w:tc>
        <w:tc>
          <w:tcPr>
            <w:tcW w:type="dxa" w:w="6463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整条重复测试、重新检测、冷启动；记录错误率与实际处理速度</w:t>
            </w:r>
          </w:p>
        </w:tc>
      </w:tr>
    </w:tbl>
    <w:p>
      <w:pPr>
        <w:spacing w:after="0"/>
      </w:pPr>
    </w:p>
    <w:p>
      <w:r>
        <w:rPr>
          <w:b/>
          <w:sz w:val="20"/>
        </w:rPr>
        <w:t>收缩规则：若前两周视频或成像仍不稳定，先完成空穴检测与可靠显示，暂停新增缺陷种类。</w:t>
      </w:r>
    </w:p>
    <w:p>
      <w:pPr>
        <w:pStyle w:val="Heading1"/>
      </w:pPr>
      <w:r>
        <w:t>七  最大问题与验证办法</w:t>
      </w:r>
    </w:p>
    <w:p>
      <w:r>
        <w:rPr>
          <w:b w:val="0"/>
        </w:rPr>
        <w:t>首要风险是看不清。用正常件、空穴、偏位及反向样品重复拍摄，先确定工作距离、视场、光照与标记清晰度；不可见的极性特征无法靠算法补救。</w:t>
      </w:r>
    </w:p>
    <w:p>
      <w:r>
        <w:rPr>
          <w:b w:val="0"/>
        </w:rPr>
        <w:t>第二风险是编号对不上实物。人工标记载带起点和方向，以此开始计数；漏计、滑移或视频中断导致失锁时，标明失效区段并重新检测。维修交接保留起点、方向及清单，编号不作为整卷永久绝对地址。</w:t>
      </w:r>
    </w:p>
    <w:p>
      <w:r>
        <w:rPr>
          <w:b w:val="0"/>
          <w:sz w:val="20"/>
        </w:rPr>
        <w:t>验证证据：制作有真值编号的样品，调参和验证样品分开；分别统计正常件误报、各类缺陷漏检和编号错误。检查电机启停干扰、清单容量及冷启动。每加一模块保存资源和最终时序报告。机械模型、打印小样和官方例程均不能替代整机实测。</w:t>
      </w:r>
    </w:p>
    <w:p>
      <w:pPr>
        <w:pStyle w:val="Heading1"/>
      </w:pPr>
      <w:r>
        <w:t>八  导师意见</w:t>
      </w:r>
    </w:p>
    <w:p>
      <w:r>
        <w:rPr>
          <w:b w:val="0"/>
          <w:sz w:val="20"/>
        </w:rPr>
        <w:t>建议优先验证的缺陷类型：____________________________________</w:t>
      </w:r>
    </w:p>
    <w:p>
      <w:r>
        <w:rPr>
          <w:b w:val="0"/>
          <w:sz w:val="20"/>
        </w:rPr>
        <w:t>方向与范围调整建议：________________________________________</w:t>
      </w:r>
    </w:p>
    <w:p>
      <w:r>
        <w:rPr>
          <w:b w:val="0"/>
          <w:sz w:val="20"/>
        </w:rPr>
        <w:t>__________________________________________________________</w:t>
      </w:r>
    </w:p>
    <w:p>
      <w:r>
        <w:rPr>
          <w:b/>
          <w:sz w:val="18"/>
        </w:rPr>
        <w:t>资料依据</w:t>
      </w:r>
    </w:p>
    <w:p>
      <w:r>
        <w:rPr>
          <w:b w:val="0"/>
          <w:sz w:val="16"/>
        </w:rPr>
        <w:t>[1] 项目目录“赛题要求与分析”内《FPGA赛题解析》资料包：第5页基础要求，第6页扩展要求，第8页平台，第26页固化及集成要求（对应content.md的Slide编号）。</w:t>
      </w:r>
    </w:p>
    <w:p>
      <w:r>
        <w:rPr>
          <w:b w:val="0"/>
          <w:sz w:val="16"/>
        </w:rPr>
        <w:t>[2] 项目Example目录下三个官方压缩包：01_MIPI采集与HDMI显示/lab_hd_1_mipi_hdmi.zip；02_边缘检测/lab_hd_2_edge.zip.zip；03_OSD叠加/lab_hd_3_osd.zip。各包内工程根目录/td_project/camera_to_dsi_display_Runs/phy_1/下的camera_to_dsi_display_phy.area与final_timing.rpt。表中“剩余”为总量减官方Lab 1占用。</w:t>
      </w:r>
    </w:p>
    <w:sectPr w:rsidR="00FC693F" w:rsidRPr="0006063C" w:rsidSect="00034616">
      <w:footerReference w:type="default" r:id="rId9"/>
      <w:pgSz w:w="11906" w:h="16838"/>
      <w:pgMar w:top="935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FPGA载带视觉检测项目方向与可行性说明</dc:title>
  <dc:subject>导师汇报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