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25E04">
      <w:pPr>
        <w:rPr>
          <w:sz w:val="36"/>
          <w:szCs w:val="36"/>
        </w:rPr>
      </w:pPr>
      <w:r>
        <w:rPr>
          <w:b/>
          <w:sz w:val="36"/>
          <w:szCs w:val="36"/>
        </w:rPr>
        <w:t>基于安路FPGA的电子元件载带视觉检测系统</w:t>
      </w:r>
    </w:p>
    <w:p w14:paraId="767ADBFA">
      <w:r>
        <w:rPr>
          <w:b/>
        </w:rPr>
        <w:t>在元件装入载带后、透明盖带封合前</w:t>
      </w:r>
      <w:r>
        <w:rPr>
          <w:b/>
          <w:color w:val="0000FF"/>
        </w:rPr>
        <w:t>进行视觉检查，找出空穴及位置、方向异常，生成穴位编号清单</w:t>
      </w:r>
      <w:r>
        <w:rPr>
          <w:b/>
        </w:rPr>
        <w:t>，供整条载带集中维修。</w:t>
      </w:r>
    </w:p>
    <w:p w14:paraId="439CE10B">
      <w:pPr>
        <w:pStyle w:val="3"/>
      </w:pPr>
      <w:r>
        <w:t>应用场景与工程流程中的位置</w:t>
      </w:r>
    </w:p>
    <w:p w14:paraId="1E90BF09">
      <w:pPr>
        <w:rPr>
          <w:b w:val="0"/>
          <w:sz w:val="20"/>
        </w:rPr>
      </w:pPr>
      <w:r>
        <w:rPr>
          <w:b w:val="0"/>
          <w:sz w:val="20"/>
        </w:rPr>
        <w:t>本项目作为独立的封盖前视觉检查工位。上游设备完成元件供料、定向和入穴；本项目检查装载结果；有异常的载带在封合前按清单维修、复检，再进入后续封装流程。</w:t>
      </w:r>
      <w:r>
        <w:rPr>
          <w:rFonts w:hint="eastAsia"/>
          <w:b w:val="0"/>
          <w:sz w:val="20"/>
          <w:lang w:val="en-US" w:eastAsia="zh-CN"/>
        </w:rPr>
        <w:t>本项目</w:t>
      </w:r>
      <w:r>
        <w:rPr>
          <w:b w:val="0"/>
          <w:sz w:val="20"/>
        </w:rPr>
        <w:t>用短载带和小型传送带验证，不承担自动装料、封盖或整线自动分流。</w:t>
      </w:r>
    </w:p>
    <w:p w14:paraId="221E7D77">
      <w:pPr>
        <w:rPr>
          <w:b w:val="0"/>
          <w:sz w:val="20"/>
        </w:rPr>
      </w:pPr>
    </w:p>
    <w:p w14:paraId="67C15DB4">
      <w:pPr>
        <w:rPr>
          <w:b w:val="0"/>
          <w:sz w:val="20"/>
        </w:rPr>
      </w:pPr>
    </w:p>
    <w:p w14:paraId="46E28A2D">
      <w:pPr>
        <w:rPr>
          <w:b w:val="0"/>
          <w:sz w:val="20"/>
        </w:rPr>
      </w:pPr>
    </w:p>
    <w:p w14:paraId="4BA5CFA5">
      <w:r>
        <w:drawing>
          <wp:inline distT="0" distB="0" distL="114300" distR="114300">
            <wp:extent cx="6263640" cy="125222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2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670A">
      <w:pPr>
        <w:jc w:val="center"/>
        <w:rPr>
          <w:b w:val="0"/>
          <w:sz w:val="16"/>
        </w:rPr>
      </w:pPr>
      <w:r>
        <w:rPr>
          <w:b w:val="0"/>
          <w:sz w:val="16"/>
        </w:rPr>
        <w:t>图1  拟用场景与处理路径</w:t>
      </w:r>
    </w:p>
    <w:p w14:paraId="438B1117">
      <w:pPr>
        <w:jc w:val="center"/>
        <w:rPr>
          <w:b w:val="0"/>
          <w:sz w:val="16"/>
        </w:rPr>
      </w:pPr>
    </w:p>
    <w:p w14:paraId="7E52F1C4">
      <w:pPr>
        <w:jc w:val="both"/>
        <w:rPr>
          <w:b w:val="0"/>
          <w:sz w:val="16"/>
        </w:rPr>
      </w:pPr>
    </w:p>
    <w:p w14:paraId="131363BA">
      <w:pPr>
        <w:jc w:val="center"/>
        <w:rPr>
          <w:b w:val="0"/>
          <w:sz w:val="16"/>
        </w:rPr>
      </w:pPr>
    </w:p>
    <w:p w14:paraId="06CA4F2D">
      <w:pPr>
        <w:jc w:val="center"/>
        <w:rPr>
          <w:b w:val="0"/>
          <w:sz w:val="16"/>
        </w:rPr>
      </w:pPr>
    </w:p>
    <w:p w14:paraId="04349514">
      <w:pPr>
        <w:jc w:val="center"/>
        <w:rPr>
          <w:b w:val="0"/>
          <w:sz w:val="16"/>
        </w:rPr>
      </w:pPr>
      <w:r>
        <w:drawing>
          <wp:inline distT="0" distB="0" distL="114300" distR="114300">
            <wp:extent cx="3533140" cy="2483485"/>
            <wp:effectExtent l="0" t="0" r="2540" b="6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FA29">
      <w:pPr>
        <w:jc w:val="center"/>
        <w:rPr>
          <w:rFonts w:hint="default" w:eastAsia="微软雅黑"/>
          <w:lang w:val="en-US" w:eastAsia="zh-CN"/>
        </w:rPr>
      </w:pPr>
      <w:r>
        <w:rPr>
          <w:b w:val="0"/>
          <w:sz w:val="16"/>
        </w:rPr>
        <w:t xml:space="preserve">图2  </w:t>
      </w:r>
      <w:r>
        <w:rPr>
          <w:rFonts w:hint="eastAsia"/>
          <w:b w:val="0"/>
          <w:sz w:val="16"/>
          <w:lang w:val="en-US" w:eastAsia="zh-CN"/>
        </w:rPr>
        <w:t>载带卷盘</w:t>
      </w:r>
    </w:p>
    <w:p w14:paraId="100CA9A9">
      <w:pPr>
        <w:jc w:val="center"/>
        <w:rPr>
          <w:b w:val="0"/>
          <w:sz w:val="16"/>
        </w:rPr>
      </w:pPr>
    </w:p>
    <w:p w14:paraId="4CF029A3">
      <w:pPr>
        <w:pStyle w:val="3"/>
      </w:pPr>
      <w:r>
        <w:t>整体结构示意</w:t>
      </w:r>
    </w:p>
    <w:p w14:paraId="7239BF75">
      <w:r>
        <w:drawing>
          <wp:inline distT="0" distB="0" distL="114300" distR="114300">
            <wp:extent cx="5039995" cy="2968625"/>
            <wp:effectExtent l="0" t="0" r="444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F89F66">
      <w:r>
        <w:rPr>
          <w:b w:val="0"/>
          <w:sz w:val="20"/>
        </w:rPr>
        <w:t>结构关系：木底板与后立板承重；中部为传送带；上方为板卡、下视摄像头与环形灯；两侧托料板辅助进出料。摄像头朝向载带，镜头、灯圈与检测区需对中；显示器和接线未在图中表示。</w:t>
      </w:r>
    </w:p>
    <w:p w14:paraId="5BCFAF49"/>
    <w:p w14:paraId="086157B8">
      <w:pPr>
        <w:pStyle w:val="3"/>
      </w:pPr>
      <w:r>
        <w:t>一  做什么与怎样工作</w:t>
      </w:r>
    </w:p>
    <w:p w14:paraId="58526CF6">
      <w:r>
        <w:rPr>
          <w:b w:val="0"/>
        </w:rPr>
        <w:t>载带可理解为装元件的连续“小格子”。本项目检查每个格子中是否有料、是否放正，并尝试依据顶部标记识别装反。首版限定一种元件和一种载带。</w:t>
      </w:r>
    </w:p>
    <w:p w14:paraId="40BFCB10">
      <w:r>
        <w:drawing>
          <wp:inline distT="0" distB="0" distL="114300" distR="114300">
            <wp:extent cx="6263640" cy="125222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2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FE0E">
      <w:pPr>
        <w:jc w:val="center"/>
      </w:pPr>
      <w:r>
        <w:rPr>
          <w:b w:val="0"/>
          <w:sz w:val="16"/>
        </w:rPr>
        <w:t>图3  检测信息流</w:t>
      </w:r>
    </w:p>
    <w:p w14:paraId="1CF0BD4E">
      <w:pPr>
        <w:pStyle w:val="3"/>
      </w:pPr>
      <w:r>
        <w:t>二  检测功能分层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061"/>
        <w:gridCol w:w="5329"/>
      </w:tblGrid>
      <w:tr w14:paraId="45D5CE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2BBD54">
            <w:pPr>
              <w:spacing w:after="0" w:line="259" w:lineRule="auto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w="3061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6909EB">
            <w:pPr>
              <w:spacing w:after="0" w:line="259" w:lineRule="auto"/>
            </w:pPr>
            <w:r>
              <w:rPr>
                <w:b/>
                <w:sz w:val="19"/>
              </w:rPr>
              <w:t>大致判断方法</w:t>
            </w:r>
          </w:p>
        </w:tc>
        <w:tc>
          <w:tcPr>
            <w:tcW w:w="5329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C84424">
            <w:pPr>
              <w:spacing w:after="0" w:line="259" w:lineRule="auto"/>
            </w:pPr>
            <w:r>
              <w:rPr>
                <w:b/>
                <w:sz w:val="19"/>
              </w:rPr>
              <w:t>实现条件与安排</w:t>
            </w:r>
          </w:p>
        </w:tc>
      </w:tr>
      <w:tr w14:paraId="4E85BC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0C3C03">
            <w:pPr>
              <w:spacing w:after="0" w:line="259" w:lineRule="auto"/>
            </w:pPr>
            <w:r>
              <w:rPr>
                <w:b w:val="0"/>
                <w:sz w:val="19"/>
              </w:rPr>
              <w:t>空穴与缺件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9A87D">
            <w:pPr>
              <w:spacing w:after="0" w:line="259" w:lineRule="auto"/>
            </w:pPr>
            <w:r>
              <w:rPr>
                <w:b w:val="0"/>
                <w:sz w:val="19"/>
              </w:rPr>
              <w:t>穴内亮度、面积或模板差异</w:t>
            </w:r>
          </w:p>
        </w:tc>
        <w:tc>
          <w:tcPr>
            <w:tcW w:w="53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DAD664">
            <w:pPr>
              <w:spacing w:after="0" w:line="259" w:lineRule="auto"/>
            </w:pPr>
            <w:r>
              <w:rPr>
                <w:b w:val="0"/>
                <w:sz w:val="19"/>
              </w:rPr>
              <w:t>首项必做；空穴和有料必须可稳定区分</w:t>
            </w:r>
          </w:p>
        </w:tc>
      </w:tr>
      <w:tr w14:paraId="38AC41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F261C6">
            <w:pPr>
              <w:spacing w:after="0" w:line="259" w:lineRule="auto"/>
            </w:pPr>
            <w:r>
              <w:rPr>
                <w:b w:val="0"/>
                <w:sz w:val="19"/>
              </w:rPr>
              <w:t>明显偏位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58785F">
            <w:pPr>
              <w:spacing w:after="0" w:line="259" w:lineRule="auto"/>
            </w:pPr>
            <w:r>
              <w:rPr>
                <w:b w:val="0"/>
                <w:sz w:val="19"/>
              </w:rPr>
              <w:t>元件中心与正常位置比较</w:t>
            </w:r>
          </w:p>
        </w:tc>
        <w:tc>
          <w:tcPr>
            <w:tcW w:w="53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49DB5">
            <w:pPr>
              <w:spacing w:after="0" w:line="259" w:lineRule="auto"/>
            </w:pPr>
            <w:r>
              <w:rPr>
                <w:b w:val="0"/>
                <w:sz w:val="19"/>
              </w:rPr>
              <w:t>补偿载带偏移后验证，优先候选</w:t>
            </w:r>
          </w:p>
        </w:tc>
      </w:tr>
      <w:tr w14:paraId="5480A8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D4964">
            <w:pPr>
              <w:spacing w:after="0" w:line="259" w:lineRule="auto"/>
            </w:pPr>
            <w:r>
              <w:rPr>
                <w:b w:val="0"/>
                <w:sz w:val="19"/>
              </w:rPr>
              <w:t>明显旋转与歪斜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13CD3">
            <w:pPr>
              <w:spacing w:after="0" w:line="259" w:lineRule="auto"/>
            </w:pPr>
            <w:r>
              <w:rPr>
                <w:b w:val="0"/>
                <w:sz w:val="19"/>
              </w:rPr>
              <w:t>长边方向或区域分布</w:t>
            </w:r>
          </w:p>
        </w:tc>
        <w:tc>
          <w:tcPr>
            <w:tcW w:w="53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F339ED">
            <w:pPr>
              <w:spacing w:after="0" w:line="259" w:lineRule="auto"/>
            </w:pPr>
            <w:r>
              <w:rPr>
                <w:b w:val="0"/>
                <w:sz w:val="19"/>
              </w:rPr>
              <w:t>外形具有方向特征，优先候选</w:t>
            </w:r>
          </w:p>
        </w:tc>
      </w:tr>
      <w:tr w14:paraId="099AFB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EB9497">
            <w:pPr>
              <w:spacing w:after="0" w:line="259" w:lineRule="auto"/>
            </w:pPr>
            <w:r>
              <w:rPr>
                <w:b w:val="0"/>
                <w:sz w:val="19"/>
              </w:rPr>
              <w:t>极性装反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90BA8E">
            <w:pPr>
              <w:spacing w:after="0" w:line="259" w:lineRule="auto"/>
            </w:pPr>
            <w:r>
              <w:rPr>
                <w:b w:val="0"/>
                <w:sz w:val="19"/>
              </w:rPr>
              <w:t>色带、圆点或缺口所在一侧</w:t>
            </w:r>
          </w:p>
        </w:tc>
        <w:tc>
          <w:tcPr>
            <w:tcW w:w="53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ACC86A">
            <w:pPr>
              <w:spacing w:after="0" w:line="259" w:lineRule="auto"/>
            </w:pPr>
            <w:r>
              <w:rPr>
                <w:b w:val="0"/>
                <w:sz w:val="19"/>
              </w:rPr>
              <w:t>顶部标记清晰可见时加入</w:t>
            </w:r>
          </w:p>
        </w:tc>
      </w:tr>
      <w:tr w14:paraId="020E3A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5FACB">
            <w:pPr>
              <w:spacing w:after="0" w:line="259" w:lineRule="auto"/>
            </w:pPr>
            <w:r>
              <w:rPr>
                <w:b w:val="0"/>
                <w:sz w:val="19"/>
              </w:rPr>
              <w:t>翻面与侧立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E55C4">
            <w:pPr>
              <w:spacing w:after="0" w:line="259" w:lineRule="auto"/>
            </w:pPr>
            <w:r>
              <w:rPr>
                <w:b w:val="0"/>
                <w:sz w:val="19"/>
              </w:rPr>
              <w:t>外形、面积及表面差异</w:t>
            </w:r>
          </w:p>
        </w:tc>
        <w:tc>
          <w:tcPr>
            <w:tcW w:w="53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832FF">
            <w:pPr>
              <w:spacing w:after="0" w:line="259" w:lineRule="auto"/>
            </w:pPr>
            <w:r>
              <w:rPr>
                <w:b w:val="0"/>
                <w:sz w:val="19"/>
              </w:rPr>
              <w:t>与正常外观差异明显时探索</w:t>
            </w:r>
          </w:p>
        </w:tc>
      </w:tr>
      <w:tr w14:paraId="6402AA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0B60C4">
            <w:pPr>
              <w:spacing w:after="0" w:line="259" w:lineRule="auto"/>
            </w:pPr>
            <w:r>
              <w:rPr>
                <w:b w:val="0"/>
                <w:sz w:val="19"/>
              </w:rPr>
              <w:t>明显错料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DBED01">
            <w:pPr>
              <w:spacing w:after="0" w:line="259" w:lineRule="auto"/>
            </w:pPr>
            <w:r>
              <w:rPr>
                <w:b w:val="0"/>
                <w:sz w:val="19"/>
              </w:rPr>
              <w:t>尺寸、颜色、外形或标记</w:t>
            </w:r>
          </w:p>
        </w:tc>
        <w:tc>
          <w:tcPr>
            <w:tcW w:w="53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453EE">
            <w:pPr>
              <w:spacing w:after="0" w:line="259" w:lineRule="auto"/>
            </w:pPr>
            <w:r>
              <w:rPr>
                <w:b w:val="0"/>
                <w:sz w:val="19"/>
              </w:rPr>
              <w:t>仅针对外观可区分的已知样品</w:t>
            </w:r>
          </w:p>
        </w:tc>
      </w:tr>
      <w:tr w14:paraId="537F4B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8F4BE">
            <w:pPr>
              <w:spacing w:after="0" w:line="259" w:lineRule="auto"/>
            </w:pPr>
            <w:r>
              <w:rPr>
                <w:b w:val="0"/>
                <w:sz w:val="19"/>
              </w:rPr>
              <w:t>明显破损与异物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945AE">
            <w:pPr>
              <w:spacing w:after="0" w:line="259" w:lineRule="auto"/>
            </w:pPr>
            <w:r>
              <w:rPr>
                <w:b w:val="0"/>
                <w:sz w:val="19"/>
              </w:rPr>
              <w:t>轮廓或异常区域</w:t>
            </w:r>
          </w:p>
        </w:tc>
        <w:tc>
          <w:tcPr>
            <w:tcW w:w="53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23AF8">
            <w:pPr>
              <w:spacing w:after="0" w:line="259" w:lineRule="auto"/>
            </w:pPr>
            <w:r>
              <w:rPr>
                <w:b w:val="0"/>
                <w:sz w:val="19"/>
              </w:rPr>
              <w:t>缺陷足够大且无遮挡时探索</w:t>
            </w:r>
          </w:p>
        </w:tc>
      </w:tr>
    </w:tbl>
    <w:p w14:paraId="605BA0FD">
      <w:pPr>
        <w:rPr>
          <w:b/>
        </w:rPr>
      </w:pPr>
      <w:r>
        <w:rPr>
          <w:b/>
        </w:rPr>
        <w:t>第一版目标：空穴检测＋实时显示＋安路Logo；成像验证后，再从偏位、旋转、极性中加入一种最稳定的检测。上述候选均不代表已经实现。</w:t>
      </w:r>
    </w:p>
    <w:p w14:paraId="7524C2E2">
      <w:pPr>
        <w:rPr>
          <w:b/>
        </w:rPr>
      </w:pPr>
    </w:p>
    <w:p w14:paraId="3EC30E1D">
      <w:pPr>
        <w:pStyle w:val="3"/>
      </w:pPr>
      <w:r>
        <w:t>三  板卡资源是否足够</w:t>
      </w:r>
    </w:p>
    <w:p w14:paraId="05E66BD2">
      <w:pPr>
        <w:rPr>
          <w:b w:val="0"/>
        </w:rPr>
      </w:pPr>
      <w:r>
        <w:rPr>
          <w:b w:val="0"/>
        </w:rPr>
        <w:t>目标平台为赛题指定的HX1P35A开发板，FPGA为PH1P35MDG324。官方Lab 1已提供MIPI、图像处理前端、DDR帧缓存和HDMI视频底座。</w:t>
      </w:r>
    </w:p>
    <w:p w14:paraId="071B54B3">
      <w:pPr>
        <w:spacing w:after="0"/>
        <w:jc w:val="left"/>
        <w:rPr>
          <w:b w:val="0"/>
        </w:rPr>
      </w:pPr>
      <w:r>
        <w:rPr>
          <w:rFonts w:hint="eastAsia"/>
          <w:lang w:val="en-US" w:eastAsia="zh-CN"/>
        </w:rPr>
        <w:t>Lab</w:t>
      </w:r>
      <w:r>
        <w:rPr>
          <w:b w:val="0"/>
        </w:rPr>
        <w:t>1</w:t>
      </w:r>
      <w:r>
        <w:rPr>
          <w:rFonts w:hint="eastAsia"/>
          <w:b w:val="0"/>
          <w:lang w:val="en-US" w:eastAsia="zh-CN"/>
        </w:rPr>
        <w:t>资源分析：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1928"/>
        <w:gridCol w:w="3515"/>
        <w:gridCol w:w="2098"/>
      </w:tblGrid>
      <w:tr w14:paraId="1DD7C4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CA18D">
            <w:pPr>
              <w:spacing w:after="0" w:line="259" w:lineRule="auto"/>
            </w:pPr>
            <w:r>
              <w:rPr>
                <w:b/>
                <w:sz w:val="19"/>
              </w:rPr>
              <w:t>资源</w:t>
            </w:r>
          </w:p>
        </w:tc>
        <w:tc>
          <w:tcPr>
            <w:tcW w:w="1928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070680">
            <w:pPr>
              <w:spacing w:after="0" w:line="259" w:lineRule="auto"/>
            </w:pPr>
            <w:r>
              <w:rPr>
                <w:b/>
                <w:sz w:val="19"/>
              </w:rPr>
              <w:t>总量</w:t>
            </w:r>
          </w:p>
        </w:tc>
        <w:tc>
          <w:tcPr>
            <w:tcW w:w="3515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5FDCC">
            <w:pPr>
              <w:spacing w:after="0" w:line="259" w:lineRule="auto"/>
            </w:pPr>
            <w:r>
              <w:rPr>
                <w:b/>
                <w:sz w:val="19"/>
              </w:rPr>
              <w:t>Lab 1占用</w:t>
            </w:r>
          </w:p>
        </w:tc>
        <w:tc>
          <w:tcPr>
            <w:tcW w:w="2098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16E90C">
            <w:pPr>
              <w:spacing w:after="0" w:line="259" w:lineRule="auto"/>
            </w:pPr>
            <w:r>
              <w:rPr>
                <w:b/>
                <w:sz w:val="19"/>
              </w:rPr>
              <w:t>算术剩余</w:t>
            </w:r>
          </w:p>
        </w:tc>
      </w:tr>
      <w:tr w14:paraId="49E078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5481D5">
            <w:pPr>
              <w:spacing w:after="0" w:line="259" w:lineRule="auto"/>
            </w:pPr>
            <w:r>
              <w:rPr>
                <w:b w:val="0"/>
                <w:sz w:val="19"/>
              </w:rPr>
              <w:t>Slice逻辑单元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9652B">
            <w:pPr>
              <w:spacing w:after="0" w:line="259" w:lineRule="auto"/>
            </w:pPr>
            <w:r>
              <w:rPr>
                <w:b w:val="0"/>
                <w:sz w:val="19"/>
              </w:rPr>
              <w:t>21,216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EC024D">
            <w:pPr>
              <w:spacing w:after="0" w:line="259" w:lineRule="auto"/>
            </w:pPr>
            <w:r>
              <w:rPr>
                <w:b w:val="0"/>
                <w:sz w:val="19"/>
              </w:rPr>
              <w:t>12,187（57.44%）</w:t>
            </w:r>
          </w:p>
        </w:tc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327E6">
            <w:pPr>
              <w:spacing w:after="0" w:line="259" w:lineRule="auto"/>
            </w:pPr>
            <w:r>
              <w:rPr>
                <w:b w:val="0"/>
                <w:sz w:val="19"/>
              </w:rPr>
              <w:t>9,029</w:t>
            </w:r>
          </w:p>
        </w:tc>
      </w:tr>
      <w:tr w14:paraId="598662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5A0246">
            <w:pPr>
              <w:spacing w:after="0" w:line="259" w:lineRule="auto"/>
            </w:pPr>
            <w:r>
              <w:rPr>
                <w:b w:val="0"/>
                <w:sz w:val="19"/>
              </w:rPr>
              <w:t>寄存器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FB815">
            <w:pPr>
              <w:spacing w:after="0" w:line="259" w:lineRule="auto"/>
            </w:pPr>
            <w:r>
              <w:rPr>
                <w:b w:val="0"/>
                <w:sz w:val="19"/>
              </w:rPr>
              <w:t>42,432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687083">
            <w:pPr>
              <w:spacing w:after="0" w:line="259" w:lineRule="auto"/>
            </w:pPr>
            <w:r>
              <w:rPr>
                <w:b w:val="0"/>
                <w:sz w:val="19"/>
              </w:rPr>
              <w:t>13,318（31.39%）</w:t>
            </w:r>
          </w:p>
        </w:tc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92E289">
            <w:pPr>
              <w:spacing w:after="0" w:line="259" w:lineRule="auto"/>
            </w:pPr>
            <w:r>
              <w:rPr>
                <w:b w:val="0"/>
                <w:sz w:val="19"/>
              </w:rPr>
              <w:t>29,114</w:t>
            </w:r>
          </w:p>
        </w:tc>
      </w:tr>
      <w:tr w14:paraId="72F832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B84F10">
            <w:pPr>
              <w:spacing w:after="0" w:line="259" w:lineRule="auto"/>
            </w:pPr>
            <w:r>
              <w:rPr>
                <w:b w:val="0"/>
                <w:sz w:val="19"/>
              </w:rPr>
              <w:t>ERAM存储块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33A69B">
            <w:pPr>
              <w:spacing w:after="0" w:line="259" w:lineRule="auto"/>
            </w:pPr>
            <w:r>
              <w:rPr>
                <w:b w:val="0"/>
                <w:sz w:val="19"/>
              </w:rPr>
              <w:t>108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301807">
            <w:pPr>
              <w:spacing w:after="0" w:line="259" w:lineRule="auto"/>
            </w:pPr>
            <w:r>
              <w:rPr>
                <w:b w:val="0"/>
                <w:sz w:val="19"/>
              </w:rPr>
              <w:t>31（28.70%）</w:t>
            </w:r>
          </w:p>
        </w:tc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DBD4EF">
            <w:pPr>
              <w:spacing w:after="0" w:line="259" w:lineRule="auto"/>
            </w:pPr>
            <w:r>
              <w:rPr>
                <w:b w:val="0"/>
                <w:sz w:val="19"/>
              </w:rPr>
              <w:t>77</w:t>
            </w:r>
          </w:p>
        </w:tc>
      </w:tr>
      <w:tr w14:paraId="3C20E1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E2C3D7">
            <w:pPr>
              <w:spacing w:after="0" w:line="259" w:lineRule="auto"/>
            </w:pPr>
            <w:r>
              <w:rPr>
                <w:b w:val="0"/>
                <w:sz w:val="19"/>
              </w:rPr>
              <w:t>DSP计算单元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F83297">
            <w:pPr>
              <w:spacing w:after="0" w:line="259" w:lineRule="auto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0945A">
            <w:pPr>
              <w:spacing w:after="0" w:line="259" w:lineRule="auto"/>
            </w:pPr>
            <w:r>
              <w:rPr>
                <w:b w:val="0"/>
                <w:sz w:val="19"/>
              </w:rPr>
              <w:t>8（20%）</w:t>
            </w:r>
          </w:p>
        </w:tc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5BDDA">
            <w:pPr>
              <w:spacing w:after="0" w:line="259" w:lineRule="auto"/>
            </w:pPr>
            <w:r>
              <w:rPr>
                <w:b w:val="0"/>
                <w:sz w:val="19"/>
              </w:rPr>
              <w:t>32</w:t>
            </w:r>
          </w:p>
        </w:tc>
      </w:tr>
    </w:tbl>
    <w:p w14:paraId="696DF4E2">
      <w:pPr>
        <w:rPr>
          <w:rFonts w:ascii="宋体" w:hAnsi="宋体" w:eastAsia="宋体" w:cs="宋体"/>
          <w:sz w:val="24"/>
          <w:szCs w:val="24"/>
        </w:rPr>
      </w:pPr>
      <w:r>
        <w:rPr>
          <w:b/>
        </w:rPr>
        <w:t>判断：</w:t>
      </w:r>
      <w:r>
        <w:rPr>
          <w:rFonts w:ascii="宋体" w:hAnsi="宋体" w:eastAsia="宋体" w:cs="宋体"/>
          <w:b/>
          <w:bCs/>
          <w:sz w:val="24"/>
          <w:szCs w:val="24"/>
        </w:rPr>
        <w:t>现有板卡预计能够支持本项目的基础检测功能。官方视频工程仍留有资源，采用局部区域统计和轻量显示方案，空穴检测具备较好的实现把握；偏位、旋转及极性检测根据实拍效果逐步加入。最终资源占用和运行稳定性将在功能集成后验证。</w:t>
      </w:r>
    </w:p>
    <w:p w14:paraId="40B325B1">
      <w:r>
        <w:rPr>
          <w:b w:val="0"/>
        </w:rPr>
        <w:t>实现策略：沿用Lab 1视频底座，检测只计算局部图像区域的面积、位置及标记差异；共享计算单元，用ERAM存储字模与缺陷记录，制作轻量结果叠加，保留安路Logo。避免直接堆叠全部官方例程。</w:t>
      </w:r>
    </w:p>
    <w:p w14:paraId="454D0E59">
      <w:r>
        <w:rPr>
          <w:b w:val="0"/>
          <w:sz w:val="20"/>
        </w:rPr>
        <w:t>时序风险：Lab 1、Lab 2边缘检测、Lab 3完整OSD的最差建立余量分别为0.629、0.234、0.121 ns。它们是不同官方工程，不能视为本项目结果；时序覆盖率分别为95.64%、94.31%、96.29%，后续还需核对约束。</w:t>
      </w:r>
    </w:p>
    <w:p w14:paraId="650A7A9A">
      <w:pPr>
        <w:pStyle w:val="3"/>
      </w:pPr>
      <w:r>
        <w:t>四  是否符合赛题方向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917"/>
      </w:tblGrid>
      <w:tr w14:paraId="698C4E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57EE13">
            <w:pPr>
              <w:spacing w:after="0" w:line="259" w:lineRule="auto"/>
            </w:pPr>
            <w:r>
              <w:rPr>
                <w:b/>
                <w:sz w:val="19"/>
              </w:rPr>
              <w:t>赛题要求</w:t>
            </w:r>
          </w:p>
        </w:tc>
        <w:tc>
          <w:tcPr>
            <w:tcW w:w="6917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9C61A">
            <w:pPr>
              <w:spacing w:after="0" w:line="259" w:lineRule="auto"/>
            </w:pPr>
            <w:r>
              <w:rPr>
                <w:b/>
                <w:sz w:val="19"/>
              </w:rPr>
              <w:t>本项目拟对应实现</w:t>
            </w:r>
          </w:p>
        </w:tc>
      </w:tr>
      <w:tr w14:paraId="49A8D9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A0DFF4">
            <w:pPr>
              <w:spacing w:after="0" w:line="259" w:lineRule="auto"/>
            </w:pPr>
            <w:r>
              <w:rPr>
                <w:b w:val="0"/>
                <w:sz w:val="19"/>
              </w:rPr>
              <w:t>基础至少完成四项中的三项</w:t>
            </w:r>
          </w:p>
        </w:tc>
        <w:tc>
          <w:tcPr>
            <w:tcW w:w="69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563DF">
            <w:pPr>
              <w:spacing w:after="0" w:line="259" w:lineRule="auto"/>
            </w:pPr>
            <w:r>
              <w:rPr>
                <w:b w:val="0"/>
                <w:sz w:val="19"/>
              </w:rPr>
              <w:t>按四项安排：MIPI采集与HDMI；FPGA图像处理；稳定视频；图形文字及安路Logo</w:t>
            </w:r>
          </w:p>
        </w:tc>
      </w:tr>
      <w:tr w14:paraId="41E344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3C715">
            <w:pPr>
              <w:spacing w:after="0" w:line="259" w:lineRule="auto"/>
            </w:pPr>
            <w:r>
              <w:rPr>
                <w:b w:val="0"/>
                <w:sz w:val="19"/>
              </w:rPr>
              <w:t>FPGA处理并输出处理后视频</w:t>
            </w:r>
          </w:p>
        </w:tc>
        <w:tc>
          <w:tcPr>
            <w:tcW w:w="69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F60C5A">
            <w:pPr>
              <w:spacing w:after="0" w:line="259" w:lineRule="auto"/>
            </w:pPr>
            <w:r>
              <w:rPr>
                <w:b w:val="0"/>
                <w:sz w:val="19"/>
              </w:rPr>
              <w:t>提供可观察的灰度或二值化结果画面，避免仅内部计算而无处理结果展示</w:t>
            </w:r>
          </w:p>
        </w:tc>
      </w:tr>
      <w:tr w14:paraId="0DD864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00C0B0">
            <w:pPr>
              <w:spacing w:after="0" w:line="259" w:lineRule="auto"/>
            </w:pPr>
            <w:r>
              <w:rPr>
                <w:b w:val="0"/>
                <w:sz w:val="19"/>
              </w:rPr>
              <w:t>扩展至少完成一项</w:t>
            </w:r>
          </w:p>
        </w:tc>
        <w:tc>
          <w:tcPr>
            <w:tcW w:w="69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049C2">
            <w:pPr>
              <w:spacing w:after="0" w:line="259" w:lineRule="auto"/>
            </w:pPr>
            <w:r>
              <w:rPr>
                <w:b w:val="0"/>
                <w:sz w:val="19"/>
              </w:rPr>
              <w:t>目标检测与识别，并在画面中叠加结果；缺陷清单体现实际用途</w:t>
            </w:r>
          </w:p>
        </w:tc>
      </w:tr>
      <w:tr w14:paraId="6B2B19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211C64">
            <w:pPr>
              <w:spacing w:after="0" w:line="259" w:lineRule="auto"/>
            </w:pPr>
            <w:r>
              <w:rPr>
                <w:b w:val="0"/>
                <w:sz w:val="19"/>
              </w:rPr>
              <w:t>最终设计部署要求</w:t>
            </w:r>
          </w:p>
        </w:tc>
        <w:tc>
          <w:tcPr>
            <w:tcW w:w="69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639986">
            <w:pPr>
              <w:spacing w:after="0" w:line="259" w:lineRule="auto"/>
            </w:pPr>
            <w:r>
              <w:rPr>
                <w:b w:val="0"/>
                <w:sz w:val="19"/>
              </w:rPr>
              <w:t>所有展示功能集成在同一设计中，固化后上电运行，无需PC再次下载</w:t>
            </w:r>
          </w:p>
        </w:tc>
      </w:tr>
    </w:tbl>
    <w:p w14:paraId="707BA949">
      <w:pPr>
        <w:spacing w:after="0"/>
      </w:pPr>
    </w:p>
    <w:p w14:paraId="395F5BCB">
      <w:r>
        <w:rPr>
          <w:b/>
        </w:rPr>
        <w:t>结论：方案与赛题方向匹配</w:t>
      </w:r>
    </w:p>
    <w:p w14:paraId="7E0C715D">
      <w:r>
        <w:br w:type="page"/>
      </w:r>
    </w:p>
    <w:p w14:paraId="08438B10">
      <w:pPr>
        <w:pStyle w:val="3"/>
      </w:pPr>
      <w:r>
        <w:t>六  六周实施路线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494"/>
        <w:gridCol w:w="6463"/>
      </w:tblGrid>
      <w:tr w14:paraId="5F59A6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CC9E10">
            <w:pPr>
              <w:spacing w:after="0" w:line="259" w:lineRule="auto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w="2494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C02137">
            <w:pPr>
              <w:spacing w:after="0" w:line="259" w:lineRule="auto"/>
            </w:pPr>
            <w:r>
              <w:rPr>
                <w:b/>
                <w:sz w:val="19"/>
              </w:rPr>
              <w:t>主要工作</w:t>
            </w:r>
          </w:p>
        </w:tc>
        <w:tc>
          <w:tcPr>
            <w:tcW w:w="6463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0E9F7">
            <w:pPr>
              <w:spacing w:after="0" w:line="259" w:lineRule="auto"/>
            </w:pPr>
            <w:r>
              <w:rPr>
                <w:b/>
                <w:sz w:val="19"/>
              </w:rPr>
              <w:t>阶段检查点</w:t>
            </w:r>
          </w:p>
        </w:tc>
      </w:tr>
      <w:tr w14:paraId="1EA2D9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09DBC9">
            <w:pPr>
              <w:spacing w:after="0" w:line="259" w:lineRule="auto"/>
            </w:pPr>
            <w:r>
              <w:rPr>
                <w:b w:val="0"/>
                <w:sz w:val="19"/>
              </w:rPr>
              <w:t>第1周</w:t>
            </w:r>
          </w:p>
        </w:tc>
        <w:tc>
          <w:tcPr>
            <w:tcW w:w="249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0D5E24">
            <w:pPr>
              <w:spacing w:after="0" w:line="259" w:lineRule="auto"/>
            </w:pPr>
            <w:r>
              <w:rPr>
                <w:b w:val="0"/>
                <w:sz w:val="19"/>
              </w:rPr>
              <w:t>视频与成像验证</w:t>
            </w:r>
          </w:p>
        </w:tc>
        <w:tc>
          <w:tcPr>
            <w:tcW w:w="646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C7516">
            <w:pPr>
              <w:spacing w:after="0" w:line="259" w:lineRule="auto"/>
            </w:pPr>
            <w:r>
              <w:rPr>
                <w:b w:val="0"/>
                <w:sz w:val="19"/>
              </w:rPr>
              <w:t>官方视频、固化冷启动；毫米尺视场和正常／异常样品清晰度</w:t>
            </w:r>
          </w:p>
        </w:tc>
      </w:tr>
      <w:tr w14:paraId="1CD81D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3F6C93">
            <w:pPr>
              <w:spacing w:after="0" w:line="259" w:lineRule="auto"/>
            </w:pPr>
            <w:r>
              <w:rPr>
                <w:b w:val="0"/>
                <w:sz w:val="19"/>
              </w:rPr>
              <w:t>第2周</w:t>
            </w:r>
          </w:p>
        </w:tc>
        <w:tc>
          <w:tcPr>
            <w:tcW w:w="249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2D4720">
            <w:pPr>
              <w:spacing w:after="0" w:line="259" w:lineRule="auto"/>
            </w:pPr>
            <w:r>
              <w:rPr>
                <w:b w:val="0"/>
                <w:sz w:val="19"/>
              </w:rPr>
              <w:t>静态空穴检测</w:t>
            </w:r>
          </w:p>
        </w:tc>
        <w:tc>
          <w:tcPr>
            <w:tcW w:w="646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3EA55D">
            <w:pPr>
              <w:spacing w:after="0" w:line="259" w:lineRule="auto"/>
            </w:pPr>
            <w:r>
              <w:rPr>
                <w:b w:val="0"/>
                <w:sz w:val="19"/>
              </w:rPr>
              <w:t>先用图片验证特征，再移植FPGA；显示检测区域、结果与Logo</w:t>
            </w:r>
          </w:p>
        </w:tc>
      </w:tr>
      <w:tr w14:paraId="5EC09E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712A1D">
            <w:pPr>
              <w:spacing w:after="0" w:line="259" w:lineRule="auto"/>
            </w:pPr>
            <w:r>
              <w:rPr>
                <w:b w:val="0"/>
                <w:sz w:val="19"/>
              </w:rPr>
              <w:t>第3周</w:t>
            </w:r>
          </w:p>
        </w:tc>
        <w:tc>
          <w:tcPr>
            <w:tcW w:w="249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76A2C">
            <w:pPr>
              <w:spacing w:after="0" w:line="259" w:lineRule="auto"/>
            </w:pPr>
            <w:r>
              <w:rPr>
                <w:b w:val="0"/>
                <w:sz w:val="19"/>
              </w:rPr>
              <w:t>增加一种检测</w:t>
            </w:r>
          </w:p>
        </w:tc>
        <w:tc>
          <w:tcPr>
            <w:tcW w:w="646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B3DBFB">
            <w:pPr>
              <w:spacing w:after="0" w:line="259" w:lineRule="auto"/>
            </w:pPr>
            <w:r>
              <w:rPr>
                <w:b w:val="0"/>
                <w:sz w:val="19"/>
              </w:rPr>
              <w:t>选偏位、旋转或极性中最稳定者；保存误检漏检及资源时序结果</w:t>
            </w:r>
          </w:p>
        </w:tc>
      </w:tr>
      <w:tr w14:paraId="5457F3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1DF1FD">
            <w:pPr>
              <w:spacing w:after="0" w:line="259" w:lineRule="auto"/>
            </w:pPr>
            <w:r>
              <w:rPr>
                <w:b w:val="0"/>
                <w:sz w:val="19"/>
              </w:rPr>
              <w:t>第4周</w:t>
            </w:r>
          </w:p>
        </w:tc>
        <w:tc>
          <w:tcPr>
            <w:tcW w:w="249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E4DC2">
            <w:pPr>
              <w:spacing w:after="0" w:line="259" w:lineRule="auto"/>
            </w:pPr>
            <w:r>
              <w:rPr>
                <w:b w:val="0"/>
                <w:sz w:val="19"/>
              </w:rPr>
              <w:t>连续检测与编号</w:t>
            </w:r>
          </w:p>
        </w:tc>
        <w:tc>
          <w:tcPr>
            <w:tcW w:w="646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041788">
            <w:pPr>
              <w:spacing w:after="0" w:line="259" w:lineRule="auto"/>
            </w:pPr>
            <w:r>
              <w:rPr>
                <w:b w:val="0"/>
                <w:sz w:val="19"/>
              </w:rPr>
              <w:t>明确起点与方向；避免重复计数；编号失可信时标记无效并重检</w:t>
            </w:r>
          </w:p>
        </w:tc>
      </w:tr>
      <w:tr w14:paraId="389A7A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BB23D">
            <w:pPr>
              <w:spacing w:after="0" w:line="259" w:lineRule="auto"/>
            </w:pPr>
            <w:r>
              <w:rPr>
                <w:b w:val="0"/>
                <w:sz w:val="19"/>
              </w:rPr>
              <w:t>第5周</w:t>
            </w:r>
          </w:p>
        </w:tc>
        <w:tc>
          <w:tcPr>
            <w:tcW w:w="249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226340">
            <w:pPr>
              <w:spacing w:after="0" w:line="259" w:lineRule="auto"/>
            </w:pPr>
            <w:r>
              <w:rPr>
                <w:b w:val="0"/>
                <w:sz w:val="19"/>
              </w:rPr>
              <w:t>缺陷清单与维修交接</w:t>
            </w:r>
          </w:p>
        </w:tc>
        <w:tc>
          <w:tcPr>
            <w:tcW w:w="646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B2BC41">
            <w:pPr>
              <w:spacing w:after="0" w:line="259" w:lineRule="auto"/>
            </w:pPr>
            <w:r>
              <w:rPr>
                <w:b w:val="0"/>
                <w:sz w:val="19"/>
              </w:rPr>
              <w:t>穴位号、类型、有效状态可分页查看；满容量提示且不静默覆盖</w:t>
            </w:r>
          </w:p>
        </w:tc>
      </w:tr>
      <w:tr w14:paraId="62A825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17D525">
            <w:pPr>
              <w:spacing w:after="0" w:line="259" w:lineRule="auto"/>
            </w:pPr>
            <w:r>
              <w:rPr>
                <w:b w:val="0"/>
                <w:sz w:val="19"/>
              </w:rPr>
              <w:t>第6周</w:t>
            </w:r>
          </w:p>
        </w:tc>
        <w:tc>
          <w:tcPr>
            <w:tcW w:w="249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8763D5">
            <w:pPr>
              <w:spacing w:after="0" w:line="259" w:lineRule="auto"/>
            </w:pPr>
            <w:r>
              <w:rPr>
                <w:b w:val="0"/>
                <w:sz w:val="19"/>
              </w:rPr>
              <w:t>联合验证与演示</w:t>
            </w:r>
          </w:p>
        </w:tc>
        <w:tc>
          <w:tcPr>
            <w:tcW w:w="646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5D4052">
            <w:pPr>
              <w:spacing w:after="0" w:line="259" w:lineRule="auto"/>
            </w:pPr>
            <w:r>
              <w:rPr>
                <w:b w:val="0"/>
                <w:sz w:val="19"/>
              </w:rPr>
              <w:t>整条重复测试、重新检测、冷启动；记录错误率与实际处理速度</w:t>
            </w:r>
          </w:p>
        </w:tc>
      </w:tr>
    </w:tbl>
    <w:p w14:paraId="40BCC52F">
      <w:pPr>
        <w:spacing w:after="0"/>
      </w:pPr>
    </w:p>
    <w:p w14:paraId="38F824BC">
      <w:r>
        <w:rPr>
          <w:b/>
          <w:sz w:val="20"/>
        </w:rPr>
        <w:t>若前两周视频或成像仍不稳定，先完成空穴检测与可靠显示，暂停新增缺陷种类。</w:t>
      </w:r>
    </w:p>
    <w:p w14:paraId="1C3F8F4B">
      <w:pPr>
        <w:pStyle w:val="3"/>
      </w:pPr>
      <w:r>
        <w:t>七  最大问题与验证办法</w:t>
      </w:r>
    </w:p>
    <w:p w14:paraId="5B482435">
      <w:r>
        <w:rPr>
          <w:b w:val="0"/>
        </w:rPr>
        <w:t>首要风险是看不清。用正常件、空穴、偏位及反向样品重复拍摄，</w:t>
      </w:r>
      <w:r>
        <w:rPr>
          <w:b w:val="0"/>
          <w:color w:val="0000FF"/>
        </w:rPr>
        <w:t>先确定工作距离、视场、光照与标记清晰度</w:t>
      </w:r>
      <w:r>
        <w:rPr>
          <w:b w:val="0"/>
        </w:rPr>
        <w:t>；不可见的极性特征无法靠算法补救。</w:t>
      </w:r>
    </w:p>
    <w:p w14:paraId="4DC0F914">
      <w:r>
        <w:rPr>
          <w:b w:val="0"/>
        </w:rPr>
        <w:t>第二风险是编号对不上实物。人工标记载带起点和方向，以此开始计数；漏计、滑移或视频中断导致失锁时，标明失效区段并重新检测。维修交接保留起点、方向及清单，编号不作为整卷永久绝对地址。</w:t>
      </w:r>
    </w:p>
    <w:p w14:paraId="0E534630">
      <w:r>
        <w:rPr>
          <w:b w:val="0"/>
          <w:sz w:val="20"/>
        </w:rPr>
        <w:t>验证证据：制作有真值编号的样品，调参和验证样品分开；分别统计正常件误报、各类缺陷漏检和编号错误。检查电机启停干扰、清单容量及冷启动。</w:t>
      </w:r>
      <w:r>
        <w:rPr>
          <w:b/>
          <w:bCs/>
          <w:sz w:val="20"/>
        </w:rPr>
        <w:t>每加一模块保存资源和最终时序报告</w:t>
      </w:r>
      <w:r>
        <w:rPr>
          <w:b w:val="0"/>
          <w:sz w:val="20"/>
        </w:rPr>
        <w:t>。</w:t>
      </w:r>
    </w:p>
    <w:sectPr>
      <w:footerReference r:id="rId5" w:type="default"/>
      <w:pgSz w:w="11906" w:h="16838"/>
      <w:pgMar w:top="935" w:right="1020" w:bottom="879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1557B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B410F0"/>
    <w:rsid w:val="288A16E3"/>
    <w:rsid w:val="355B254E"/>
    <w:rsid w:val="375810A4"/>
    <w:rsid w:val="45196317"/>
    <w:rsid w:val="58D32050"/>
    <w:rsid w:val="5F97635E"/>
    <w:rsid w:val="616C180C"/>
    <w:rsid w:val="70EB5859"/>
    <w:rsid w:val="7817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180" w:after="1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571</Words>
  <Characters>582</Characters>
  <Lines>0</Lines>
  <Paragraphs>0</Paragraphs>
  <TotalTime>0</TotalTime>
  <ScaleCrop>false</ScaleCrop>
  <LinksUpToDate>false</LinksUpToDate>
  <CharactersWithSpaces>600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WPS_1609974677</dc:creator>
  <dc:description>generated by python-docx</dc:description>
  <cp:lastModifiedBy>WPS_1609974677</cp:lastModifiedBy>
  <dcterms:modified xsi:type="dcterms:W3CDTF">2026-09-17T09:06:55Z</dcterms:modified>
  <dc:subject>导师汇报</dc:subject>
  <dc:title>FPGA载带视觉检测项目方向与可行性说明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eyJoZGlkIjoiMzYzYWFjMGU5OWJkNzk3NGViNmUyYzMxNmI1ZGZjZjQiLCJ1c2VySWQiOiIxMTU3NDk4NTkwIn0=</vt:lpwstr>
  </property>
  <property fmtid="{D5CDD505-2E9C-101B-9397-08002B2CF9AE}" pid="3" name="KSOProductBuildVer">
    <vt:lpwstr>2052-12.1.0.19302</vt:lpwstr>
  </property>
  <property fmtid="{D5CDD505-2E9C-101B-9397-08002B2CF9AE}" pid="4" name="ICV">
    <vt:lpwstr>45405CEC7206453897B3264A2158DA58_12</vt:lpwstr>
  </property>
</Properties>
</file>