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载带检测项目执行计划</w:t>
      </w:r>
    </w:p>
    <w:p>
      <w:r>
        <w:rPr>
          <w:b w:val="0"/>
          <w:sz w:val="26"/>
        </w:rPr>
        <w:t>操作与证据采集手册</w:t>
      </w:r>
    </w:p>
    <w:p>
      <w:r>
        <w:rPr>
          <w:b w:val="0"/>
          <w:sz w:val="20"/>
        </w:rPr>
        <w:t>2026年9月7日  人操作实物  AI填写正式记录</w:t>
      </w:r>
    </w:p>
    <w:p>
      <w:r>
        <w:rPr>
          <w:b w:val="0"/>
        </w:rPr>
        <w:t>你需要知道测什么、怎样操作、留下什么证据。AI负责整理数据、填写Markdown记录并检查是否达到目标。Word只保留操作说明和简要进度，不要求你重复填写实验数据。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05" w:type="dxa"/>
          <w:right w:w="105" w:type="dxa"/>
        </w:tblCellMar>
      </w:tblPr>
      <w:tblGrid>
        <w:gridCol w:w="1701"/>
        <w:gridCol w:w="794"/>
        <w:gridCol w:w="7257"/>
      </w:tblGrid>
      <w:tr>
        <w:trPr>
          <w:trHeight w:val="425" w:hRule="atLeast"/>
          <w:cantSplit/>
          <w:tblHeader/>
        </w:trPr>
        <w:tc>
          <w:tcPr>
            <w:tcW w:type="dxa" w:w="1701"/>
            <w:vAlign w:val="center"/>
            <w:shd w:fill="E6EDF2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794"/>
            <w:vAlign w:val="center"/>
            <w:shd w:fill="E6EDF2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21"/>
              </w:rPr>
              <w:t>步骤</w:t>
            </w:r>
          </w:p>
        </w:tc>
        <w:tc>
          <w:tcPr>
            <w:tcW w:type="dxa" w:w="7257"/>
            <w:vAlign w:val="center"/>
            <w:shd w:fill="E6EDF2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21"/>
              </w:rPr>
              <w:t>本步要回答的问题</w:t>
            </w:r>
          </w:p>
        </w:tc>
      </w:tr>
      <w:tr>
        <w:trPr>
          <w:trHeight w:val="567" w:hRule="atLeast"/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A视频识别</w:t>
            </w:r>
          </w:p>
        </w:tc>
        <w:tc>
          <w:tcPr>
            <w:tcW w:type="dxa" w:w="794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7257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官方视频能否稳定运行并独立冷启动</w:t>
            </w:r>
          </w:p>
        </w:tc>
      </w:tr>
      <w:tr>
        <w:trPr>
          <w:trHeight w:val="567" w:hRule="atLeast"/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A视频识别</w:t>
            </w:r>
          </w:p>
        </w:tc>
        <w:tc>
          <w:tcPr>
            <w:tcW w:type="dxa" w:w="794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7257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实际能看多宽  元件与定位孔是否清楚</w:t>
            </w:r>
          </w:p>
        </w:tc>
      </w:tr>
      <w:tr>
        <w:trPr>
          <w:trHeight w:val="567" w:hRule="atLeast"/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A视频识别</w:t>
            </w:r>
          </w:p>
        </w:tc>
        <w:tc>
          <w:tcPr>
            <w:tcW w:type="dxa" w:w="794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7257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真实正常与空穴样品能否可靠区分</w:t>
            </w:r>
          </w:p>
        </w:tc>
      </w:tr>
      <w:tr>
        <w:trPr>
          <w:trHeight w:val="567" w:hRule="atLeast"/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A视频识别</w:t>
            </w:r>
          </w:p>
        </w:tc>
        <w:tc>
          <w:tcPr>
            <w:tcW w:type="dxa" w:w="794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7257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同一镜像是否完成处理  识别  Logo及启动</w:t>
            </w:r>
          </w:p>
        </w:tc>
      </w:tr>
      <w:tr>
        <w:trPr>
          <w:trHeight w:val="567" w:hRule="atLeast"/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B连续检测</w:t>
            </w:r>
          </w:p>
        </w:tc>
        <w:tc>
          <w:tcPr>
            <w:tcW w:type="dxa" w:w="794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7257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运动后是否仍清楚  电机是否干扰视频</w:t>
            </w:r>
          </w:p>
        </w:tc>
      </w:tr>
      <w:tr>
        <w:trPr>
          <w:trHeight w:val="567" w:hRule="atLeast"/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B连续检测</w:t>
            </w:r>
          </w:p>
        </w:tc>
        <w:tc>
          <w:tcPr>
            <w:tcW w:type="dxa" w:w="794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7257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编号是否可信  失锁能否停止并重建基准</w:t>
            </w:r>
          </w:p>
        </w:tc>
      </w:tr>
      <w:tr>
        <w:trPr>
          <w:trHeight w:val="567" w:hRule="atLeast"/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C停车闭环</w:t>
            </w:r>
          </w:p>
        </w:tc>
        <w:tc>
          <w:tcPr>
            <w:tcW w:type="dxa" w:w="794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7257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来不来得及停  多个NG是否按序保留</w:t>
            </w:r>
          </w:p>
        </w:tc>
      </w:tr>
      <w:tr>
        <w:trPr>
          <w:trHeight w:val="567" w:hRule="atLeast"/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C停车闭环</w:t>
            </w:r>
          </w:p>
        </w:tc>
        <w:tc>
          <w:tcPr>
            <w:tcW w:type="dxa" w:w="794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7257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能否停对穴位  修好后才恢复送料</w:t>
            </w:r>
          </w:p>
        </w:tc>
      </w:tr>
    </w:tbl>
    <w:p>
      <w:pPr>
        <w:spacing w:after="80" w:line="60" w:lineRule="exact"/>
      </w:pPr>
      <w:r>
        <w:rPr>
          <w:b w:val="0"/>
          <w:sz w:val="6"/>
        </w:rPr>
      </w:r>
    </w:p>
    <w:p>
      <w:pPr>
        <w:pStyle w:val="Heading2"/>
      </w:pPr>
      <w:r>
        <w:t>先做这两件事</w:t>
      </w:r>
    </w:p>
    <w:p>
      <w:r>
        <w:rPr>
          <w:b w:val="0"/>
        </w:rPr>
        <w:t>先跑官方Lab 1视频，再把毫米尺和真实载带放在同一平面拍摄。视场和特征像素没有实测前，不冻结穴位数量或检测与处置区距离。</w:t>
      </w:r>
    </w:p>
    <w:p>
      <w:pPr>
        <w:pStyle w:val="Heading2"/>
      </w:pPr>
      <w:r>
        <w:t>只维护一份详细结果</w:t>
      </w:r>
    </w:p>
    <w:p>
      <w:r>
        <w:rPr>
          <w:b w:val="0"/>
        </w:rPr>
        <w:t>正式数据保存在“开发实施/验收记录”内，每轮一份Markdown，使用01_阶段验收记录模板。AI把结果摘要和记录路径同步到本手册末页。没有实测证据的步骤保持未测或需补测。</w:t>
      </w:r>
    </w:p>
    <w:p>
      <w:r>
        <w:rPr>
          <w:b w:val="0"/>
          <w:sz w:val="20"/>
        </w:rPr>
        <w:t>ROI是图像检测区；NG是已启用规则判定的异常；失锁是编号或位置不再可信。A/B/C是功能版本，与团队分组无关。</w:t>
      </w:r>
    </w:p>
    <w:p>
      <w:pPr>
        <w:pStyle w:val="Heading1"/>
        <w:pageBreakBefore/>
      </w:pPr>
      <w:r>
        <w:t>A版先跑视频再量视场</w:t>
      </w:r>
    </w:p>
    <w:p>
      <w:pPr>
        <w:pStyle w:val="Heading2"/>
      </w:pPr>
      <w:r>
        <w:t>步骤1  验证视频底座</w:t>
      </w:r>
    </w:p>
    <w:p>
      <w:r>
        <w:rPr>
          <w:b w:val="0"/>
        </w:rPr>
        <w:t>目的：确认现有工程确实能在你的板卡上运行。</w:t>
      </w:r>
    </w:p>
    <w:p>
      <w:r>
        <w:rPr>
          <w:b w:val="0"/>
        </w:rPr>
        <w:t>1. 核对板卡丝印及摄像头型号，保存本次工程、TD版本和镜像文件名。先使用官方Lab 1的1024×600配置。</w:t>
      </w:r>
    </w:p>
    <w:p>
      <w:r>
        <w:rPr>
          <w:b w:val="0"/>
        </w:rPr>
        <w:t>2. 连续运行视频，先以30分钟为检查窗口；观察黑屏、花屏、卡顿和相机重启，有计数器时保存开始与结束数值。</w:t>
      </w:r>
    </w:p>
    <w:p>
      <w:r>
        <w:rPr>
          <w:b w:val="0"/>
        </w:rPr>
        <w:t>3. 按板卡的固化流程保存镜像，断电再上电，验证不重新下载即可运行；保留每次成功或失败结果。</w:t>
      </w:r>
    </w:p>
    <w:p>
      <w:r>
        <w:rPr>
          <w:b/>
          <w:sz w:val="21"/>
        </w:rPr>
        <w:t>交给AI的证据：板卡照片、工程与镜像路径、计数或日志、运行录像、冷启动录像和人工说明。实际输入帧率需测量，不能用HDMI刷新率代替。</w:t>
      </w:r>
    </w:p>
    <w:p>
      <w:r>
        <w:rPr>
          <w:b w:val="0"/>
          <w:sz w:val="21"/>
        </w:rPr>
        <w:t>继续条件：实物视频稳定且有启动证据。30分钟只是本计划检查窗口，不是声称赛事规定时长。无计数器或完整记录时，AI应说明证据覆盖范围。</w:t>
      </w:r>
    </w:p>
    <w:p>
      <w:pPr>
        <w:pStyle w:val="Heading2"/>
      </w:pPr>
      <w:r>
        <w:t>步骤2  测实际视场</w:t>
      </w:r>
    </w:p>
    <w:p>
      <w:r>
        <w:rPr>
          <w:b w:val="0"/>
        </w:rPr>
        <w:t>目的：决定一次能看几个穴位，以及所需特征是否足够清楚。</w:t>
      </w:r>
    </w:p>
    <w:p>
      <w:r>
        <w:rPr>
          <w:b w:val="0"/>
        </w:rPr>
        <w:t>1. 把毫米尺、定位孔、元件放在同一高度平面；拍一张能看清安装方式和测距起止点的现场照。</w:t>
      </w:r>
    </w:p>
    <w:p>
      <w:r>
        <w:rPr>
          <w:b w:val="0"/>
        </w:rPr>
        <w:t>2. 选择几个可安装且能合焦的位置，逐个重新对焦并保存原始图像。告诉AI距离从哪里量到哪里、曝光及光源设置。</w:t>
      </w:r>
    </w:p>
    <w:p>
      <w:r>
        <w:rPr>
          <w:b w:val="0"/>
        </w:rPr>
        <w:t>3. 锁紧支架并建立导轨横向基准；重复拆装后拍照，检查视场、倾角和检测区域是否明显变化。</w:t>
      </w:r>
    </w:p>
    <w:p>
      <w:r>
        <w:rPr>
          <w:b/>
          <w:sz w:val="21"/>
        </w:rPr>
        <w:t>交给AI的证据：每个位置的原图、实际距离与测距基准、相机模式、元件料号、复装前后照片。照片应保留尺刻度，不只截取元件。</w:t>
      </w:r>
    </w:p>
    <w:p>
      <w:r>
        <w:rPr>
          <w:b w:val="0"/>
          <w:sz w:val="21"/>
        </w:rPr>
        <w:t>继续条件：AI能依据尺刻度计算有效视场，并检查完整穴位数和特征像素。距离、标尺单位或平面关系不清楚时先补证据；不能仅凭镜头商品视角填结果。</w:t>
      </w:r>
    </w:p>
    <w:p>
      <w:r>
        <w:rPr>
          <w:b w:val="0"/>
          <w:sz w:val="20"/>
        </w:rPr>
        <w:t>本页不要求换镜头，也不固定80 mm距离、5至7穴位或同画面返修。按实拍结果选择可用布局。</w:t>
      </w:r>
    </w:p>
    <w:p>
      <w:pPr>
        <w:pStyle w:val="Heading1"/>
        <w:pageBreakBefore/>
      </w:pPr>
      <w:r>
        <w:t>A版准备样品并形成最小作品</w:t>
      </w:r>
    </w:p>
    <w:p>
      <w:pPr>
        <w:pStyle w:val="Heading2"/>
      </w:pPr>
      <w:r>
        <w:t>步骤3  建立真实样品对照</w:t>
      </w:r>
    </w:p>
    <w:p>
      <w:r>
        <w:rPr>
          <w:b w:val="0"/>
        </w:rPr>
        <w:t>目的：让识别结果有可核对的物理真值。</w:t>
      </w:r>
    </w:p>
    <w:p>
      <w:r>
        <w:rPr>
          <w:b w:val="0"/>
        </w:rPr>
        <w:t>1. 锁定一个完整料号和一种载带，量宽度、孔节距P0和穴位节距P1。先准备正常与空穴样品。</w:t>
      </w:r>
    </w:p>
    <w:p>
      <w:r>
        <w:rPr>
          <w:b w:val="0"/>
        </w:rPr>
        <w:t>2. 给测试段和物理穴位编号，编号标记放在ROI和定位孔之外；拍全段对照照片，人工确认每个穴位的实际状态。</w:t>
      </w:r>
    </w:p>
    <w:p>
      <w:r>
        <w:rPr>
          <w:b w:val="0"/>
        </w:rPr>
        <w:t>3. 把调参段和验收段分开。测试前与AI约定样本量和误报、漏检目标，再采集独立验收数据。</w:t>
      </w:r>
    </w:p>
    <w:p>
      <w:r>
        <w:rPr>
          <w:b/>
          <w:sz w:val="21"/>
        </w:rPr>
        <w:t>交给AI的证据：料号与载带参数、物理编号对照表、原图、正常/空穴真值、调参与验收划分、算法输出。</w:t>
      </w:r>
    </w:p>
    <w:p>
      <w:r>
        <w:rPr>
          <w:b w:val="0"/>
          <w:sz w:val="21"/>
        </w:rPr>
        <w:t>继续条件：每个检测结果都能找到对应物理真值。AI分别统计各类误报与漏检；同一穴位的多帧不能冒充多个独立样本。</w:t>
      </w:r>
    </w:p>
    <w:p>
      <w:pPr>
        <w:pStyle w:val="Heading2"/>
      </w:pPr>
      <w:r>
        <w:t>步骤4  集成A版并逐项验收</w:t>
      </w:r>
    </w:p>
    <w:p>
      <w:r>
        <w:rPr>
          <w:b w:val="0"/>
        </w:rPr>
        <w:t>目的：用同一镜像证明基础视频与最小识别功能。</w:t>
      </w:r>
    </w:p>
    <w:p>
      <w:r>
        <w:rPr>
          <w:b w:val="0"/>
        </w:rPr>
        <w:t>1. 由AI或开发者先明确像素格式、每拍像素数、顺序、valid/sof/eol及固定ROI边界，再实现正常与空穴识别。</w:t>
      </w:r>
    </w:p>
    <w:p>
      <w:r>
        <w:rPr>
          <w:b w:val="0"/>
        </w:rPr>
        <w:t>2. 集成可见的灰度或二值等处理视图、识别文字和可辨认的安路Logo。每加模块保存资源与完整时序报告。</w:t>
      </w:r>
    </w:p>
    <w:p>
      <w:r>
        <w:rPr>
          <w:b w:val="0"/>
        </w:rPr>
        <w:t>3. 在最终整合镜像上重新检查视频稳定性和断电冷启动；录像展示处理视图、真实样品切换、识别文字与Logo。</w:t>
      </w:r>
    </w:p>
    <w:p>
      <w:r>
        <w:rPr>
          <w:b/>
          <w:sz w:val="21"/>
        </w:rPr>
        <w:t>交给AI的证据：最终工程和镜像、资源/时序报告、约束说明、接口说明、样品与屏幕同框录像、冷启动记录。</w:t>
      </w:r>
    </w:p>
    <w:p>
      <w:r>
        <w:rPr>
          <w:b w:val="0"/>
          <w:sz w:val="21"/>
        </w:rPr>
        <w:t>继续条件：全部A版功能在HX1P35A同一设计中运行。AI按赛题逐项核对；独立Lab成绩不能代替本项目集成结果，正WNS也不能代替完整约束检查。</w:t>
      </w:r>
    </w:p>
    <w:p>
      <w:r>
        <w:rPr>
          <w:b w:val="0"/>
          <w:sz w:val="20"/>
        </w:rPr>
        <w:t>赛题依据为本地2026年9月5日版PPT第5、6、26页：基础至少3项，扩展至少1项。本计划争取4项基础，并以目标检测识别和结果文字作为扩展主线。</w:t>
      </w:r>
    </w:p>
    <w:p>
      <w:r>
        <w:rPr>
          <w:b w:val="0"/>
          <w:sz w:val="20"/>
        </w:rPr>
        <w:t>反向、偏位和旋转检测待真实特征及判据验证后加入；OK只代表通过已经启用的类别。</w:t>
      </w:r>
    </w:p>
    <w:p>
      <w:pPr>
        <w:pStyle w:val="Heading1"/>
        <w:pageBreakBefore/>
      </w:pPr>
      <w:r>
        <w:t>B版验证运动和相对编号</w:t>
      </w:r>
    </w:p>
    <w:p>
      <w:pPr>
        <w:pStyle w:val="Heading2"/>
      </w:pPr>
      <w:r>
        <w:t>步骤5  检查运动图像与电机干扰</w:t>
      </w:r>
    </w:p>
    <w:p>
      <w:r>
        <w:rPr>
          <w:b w:val="0"/>
        </w:rPr>
        <w:t>目的：确定载带动起来后，原来的识别条件是否仍成立。</w:t>
      </w:r>
    </w:p>
    <w:p>
      <w:r>
        <w:rPr>
          <w:b w:val="0"/>
        </w:rPr>
        <w:t>1. 使用能保持元件的短水平导轨，从低速开始。分别测试电机关闭、匀速、反复启停和灯光切换。</w:t>
      </w:r>
    </w:p>
    <w:p>
      <w:r>
        <w:rPr>
          <w:b w:val="0"/>
        </w:rPr>
        <w:t>2. 每次先只改变一个因素，记录实际移动距离与用时、曝光和输入帧率；保留元件完整进入及离开ROI的原始帧或带时间戳视频。</w:t>
      </w:r>
    </w:p>
    <w:p>
      <w:r>
        <w:rPr>
          <w:b w:val="0"/>
        </w:rPr>
        <w:t>3. 观察模糊、倾斜形变、闪屏、丢帧或相机重启；保存电源、共地和布线的现场照片。</w:t>
      </w:r>
    </w:p>
    <w:p>
      <w:r>
        <w:rPr>
          <w:b/>
          <w:sz w:val="21"/>
        </w:rPr>
        <w:t>交给AI的证据：各工况录像或原始帧、移动距离与时间、曝光设置、错误计数和布线照片。</w:t>
      </w:r>
    </w:p>
    <w:p>
      <w:r>
        <w:rPr>
          <w:b w:val="0"/>
          <w:sz w:val="21"/>
        </w:rPr>
        <w:t>继续条件：在选定速度下有足够清晰完整的观测，且干扰问题可解释并达到事先目标。AI按有效窗口统计可用帧，不把每节距总帧数直接当作可用帧。</w:t>
      </w:r>
    </w:p>
    <w:p>
      <w:pPr>
        <w:pStyle w:val="Heading2"/>
      </w:pPr>
      <w:r>
        <w:t>步骤6  检查编号与失锁恢复</w:t>
      </w:r>
    </w:p>
    <w:p>
      <w:r>
        <w:rPr>
          <w:b w:val="0"/>
        </w:rPr>
        <w:t>目的：证明一次连续运行中的编号对应真实穴位，异常后不会悄悄错号。</w:t>
      </w:r>
    </w:p>
    <w:p>
      <w:r>
        <w:rPr>
          <w:b w:val="0"/>
        </w:rPr>
        <w:t>1. 先标明运行号run_id、起始物理穴位与正向，记录相对编号与真值编号的对应关系。</w:t>
      </w:r>
    </w:p>
    <w:p>
      <w:r>
        <w:rPr>
          <w:b w:val="0"/>
        </w:rPr>
        <w:t>2. 在受控测试中分别遮孔、中断视频、暂停恢复，并验证滑移或停机手动移动后的编号可信度。保存异常前后画面和日志。</w:t>
      </w:r>
    </w:p>
    <w:p>
      <w:r>
        <w:rPr>
          <w:b w:val="0"/>
        </w:rPr>
        <w:t>3. 检查失锁是否停止送料；恢复时是否重新建立基准。若已有NG队列，确认受影响载带段后再处置旧队列；启用动态框时检查显示帧对应关系。</w:t>
      </w:r>
    </w:p>
    <w:p>
      <w:r>
        <w:rPr>
          <w:b/>
          <w:sz w:val="21"/>
        </w:rPr>
        <w:t>交给AI的证据：物理编号对照、异常发生时间、run_id和pocket_id日志、停止与恢复录像、动态框帧匹配证据。</w:t>
      </w:r>
    </w:p>
    <w:p>
      <w:r>
        <w:rPr>
          <w:b w:val="0"/>
          <w:sz w:val="21"/>
        </w:rPr>
        <w:t>继续条件：漏号、重号和重同步次数有记录；位置不可信时禁止沿用旧编号。受控暂停只有位置仍可信才可保留编号。</w:t>
      </w:r>
    </w:p>
    <w:p>
      <w:r>
        <w:rPr>
          <w:b w:val="0"/>
          <w:sz w:val="20"/>
        </w:rPr>
        <w:t>滚动形变先列为实测验证项；多帧融合、双光场在单帧或单光场不足时再评估，不作为A版的共同前置功能。</w:t>
      </w:r>
    </w:p>
    <w:p>
      <w:pPr>
        <w:pStyle w:val="Heading1"/>
        <w:pageBreakBefore/>
      </w:pPr>
      <w:r>
        <w:t>C版验证停车与处置复检</w:t>
      </w:r>
    </w:p>
    <w:p>
      <w:pPr>
        <w:pStyle w:val="Heading2"/>
      </w:pPr>
      <w:r>
        <w:t>步骤7  先测停止能力再确定布局</w:t>
      </w:r>
    </w:p>
    <w:p>
      <w:r>
        <w:rPr>
          <w:b w:val="0"/>
        </w:rPr>
        <w:t>目的：确保发现异常后仍有足够距离停到可处置位置。</w:t>
      </w:r>
    </w:p>
    <w:p>
      <w:r>
        <w:rPr>
          <w:b w:val="0"/>
        </w:rPr>
        <w:t>1. 在不同速度和实际负载下重复停止试验，记录发出停止指令的时刻、位置和最后停止位置，保留最差结果。</w:t>
      </w:r>
    </w:p>
    <w:p>
      <w:r>
        <w:rPr>
          <w:b w:val="0"/>
        </w:rPr>
        <w:t>2. 分别量判定及控制延迟、制动距离和停靠误差，据此确定检测点到处置区距离及余量，不预设3至4穴位足够。</w:t>
      </w:r>
    </w:p>
    <w:p>
      <w:r>
        <w:rPr>
          <w:b w:val="0"/>
        </w:rPr>
        <w:t>3. 测试单NG、相邻NG、间隔NG及高水位/满队列场景，检查每个run_id与pocket_id事件是否去重、按序保存和处置。</w:t>
      </w:r>
    </w:p>
    <w:p>
      <w:r>
        <w:rPr>
          <w:b/>
          <w:sz w:val="21"/>
        </w:rPr>
        <w:t>交给AI的证据：带位置标尺的录像、时间戳或控制日志、速度与负载、停止位置数据、队列深度及高水位、在途事件记录。</w:t>
      </w:r>
    </w:p>
    <w:p>
      <w:r>
        <w:rPr>
          <w:b w:val="0"/>
          <w:sz w:val="21"/>
        </w:rPr>
        <w:t>继续条件：最差停止距离与误差仍能放入处置窗口；高水位提前停，预留制动期间新增事件容量。队列满应故障停止，不能静默丢弃NG。</w:t>
      </w:r>
    </w:p>
    <w:p>
      <w:pPr>
        <w:pStyle w:val="Heading2"/>
      </w:pPr>
      <w:r>
        <w:t>步骤8  核对停车穴位与复检</w:t>
      </w:r>
    </w:p>
    <w:p>
      <w:r>
        <w:rPr>
          <w:b w:val="0"/>
        </w:rPr>
        <w:t>目的：确认识别、停车、人工处理和继续送料确实对应同一个物理穴位。</w:t>
      </w:r>
    </w:p>
    <w:p>
      <w:r>
        <w:rPr>
          <w:b w:val="0"/>
        </w:rPr>
        <w:t>1. 对照物理真值编号，核对每次停车是不是目标穴位，记录停错、误停和连续NG处置顺序。</w:t>
      </w:r>
    </w:p>
    <w:p>
      <w:r>
        <w:rPr>
          <w:b w:val="0"/>
        </w:rPr>
        <w:t>2. 人工处理后按键复检；分别测试已修好和未修好，检查只有复检通过才允许恢复。失锁时按受影响段确认规则处理。</w:t>
      </w:r>
    </w:p>
    <w:p>
      <w:r>
        <w:rPr>
          <w:b w:val="0"/>
        </w:rPr>
        <w:t>3. 记录从开始送料到完成测试的总时长，包含停车、人工处置和恢复；统计唯一完成穴位数，复检不重复计产量。</w:t>
      </w:r>
    </w:p>
    <w:p>
      <w:r>
        <w:rPr>
          <w:b/>
          <w:sz w:val="21"/>
        </w:rPr>
        <w:t>交给AI的证据：停车物理号与队列日志、修前修后真值、复检结果录像、全部停机时间和完成穴位统计。</w:t>
      </w:r>
    </w:p>
    <w:p>
      <w:r>
        <w:rPr>
          <w:b w:val="0"/>
          <w:sz w:val="21"/>
        </w:rPr>
        <w:t>继续条件：停对穴位，未修好保持停车，多NG无漏处置；AI分别报告正常误停、异常漏检、停错穴、重同步和含停车的净吞吐，不能只报一个识别率。</w:t>
      </w:r>
    </w:p>
    <w:p>
      <w:r>
        <w:rPr>
          <w:b w:val="0"/>
          <w:sz w:val="20"/>
        </w:rPr>
        <w:t>如果停止距离放不下，先降低速度或改变布局，再复测。公式估算只能帮助选试验条件，最终验收用实际数据。</w:t>
      </w:r>
    </w:p>
    <w:p>
      <w:pPr>
        <w:pStyle w:val="Heading1"/>
        <w:pageBreakBefore/>
      </w:pPr>
      <w:r>
        <w:t>把证据交给AI并更新进度</w:t>
      </w:r>
    </w:p>
    <w:p>
      <w:pPr>
        <w:pStyle w:val="Heading2"/>
      </w:pPr>
      <w:r>
        <w:t>每次测试前对AI这样说</w:t>
      </w:r>
    </w:p>
    <w:p>
      <w:r>
        <w:rPr>
          <w:b w:val="0"/>
        </w:rPr>
        <w:t>“这次做第__步，工程在__，现有设备和样品是__。请先说明操作顺序、需要保存的证据和通过条件。完成后用01模板建立本轮验收记录。”</w:t>
      </w:r>
    </w:p>
    <w:p>
      <w:pPr>
        <w:pStyle w:val="Heading2"/>
      </w:pPr>
      <w:r>
        <w:t>测试后这样交接</w:t>
      </w:r>
    </w:p>
    <w:p>
      <w:r>
        <w:rPr>
          <w:b w:val="0"/>
        </w:rPr>
        <w:t>“原始证据放在__。实际操作顺序是__，我观察到__，没有测到的是__。请引用证据填写记录，区分实测、计算、人工说明和估算，列出缺失信息，再更新Word进度摘要。”</w:t>
      </w:r>
    </w:p>
    <w:p>
      <w:r>
        <w:rPr>
          <w:b w:val="0"/>
        </w:rPr>
        <w:t>建议保存为“开发实施/验收记录/日期_步骤_轮次.md”，原始图片和日志放在对应同名目录。复测新建记录，不覆盖前一次失败结果。AI只填写有依据的内容，不虚构测试成绩、操作人或签字。</w:t>
      </w:r>
    </w:p>
    <w:p>
      <w:pPr>
        <w:pStyle w:val="Heading2"/>
      </w:pPr>
      <w:r>
        <w:t>阶段进度摘要</w:t>
      </w:r>
    </w:p>
    <w:p>
      <w:r>
        <w:rPr>
          <w:b w:val="0"/>
          <w:sz w:val="20"/>
        </w:rPr>
        <w:t>以下状态目前均为未测；得到本项目证据后由AI更新。详细数据以对应Markdown记录为准。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05" w:type="dxa"/>
          <w:right w:w="105" w:type="dxa"/>
        </w:tblCellMar>
      </w:tblPr>
      <w:tblGrid>
        <w:gridCol w:w="850"/>
        <w:gridCol w:w="1417"/>
        <w:gridCol w:w="7483"/>
      </w:tblGrid>
      <w:tr>
        <w:trPr>
          <w:trHeight w:val="425" w:hRule="atLeast"/>
          <w:cantSplit/>
          <w:tblHeader/>
        </w:trPr>
        <w:tc>
          <w:tcPr>
            <w:tcW w:type="dxa" w:w="850"/>
            <w:vAlign w:val="center"/>
            <w:shd w:fill="E6EDF2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21"/>
              </w:rPr>
              <w:t>步骤</w:t>
            </w:r>
          </w:p>
        </w:tc>
        <w:tc>
          <w:tcPr>
            <w:tcW w:type="dxa" w:w="1417"/>
            <w:vAlign w:val="center"/>
            <w:shd w:fill="E6EDF2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type="dxa" w:w="7483"/>
            <w:vAlign w:val="center"/>
            <w:shd w:fill="E6EDF2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21"/>
              </w:rPr>
              <w:t>关键结论与正式记录路径</w:t>
            </w:r>
          </w:p>
        </w:tc>
      </w:tr>
      <w:tr>
        <w:trPr>
          <w:trHeight w:val="510" w:hRule="atLeast"/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未测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待本项目实测证据</w:t>
            </w:r>
          </w:p>
        </w:tc>
      </w:tr>
      <w:tr>
        <w:trPr>
          <w:trHeight w:val="510" w:hRule="atLeast"/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未测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待本项目实测证据</w:t>
            </w:r>
          </w:p>
        </w:tc>
      </w:tr>
      <w:tr>
        <w:trPr>
          <w:trHeight w:val="510" w:hRule="atLeast"/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未测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待本项目实测证据</w:t>
            </w:r>
          </w:p>
        </w:tc>
      </w:tr>
      <w:tr>
        <w:trPr>
          <w:trHeight w:val="510" w:hRule="atLeast"/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未测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待本项目实测证据</w:t>
            </w:r>
          </w:p>
        </w:tc>
      </w:tr>
      <w:tr>
        <w:trPr>
          <w:trHeight w:val="510" w:hRule="atLeast"/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未测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待本项目实测证据</w:t>
            </w:r>
          </w:p>
        </w:tc>
      </w:tr>
      <w:tr>
        <w:trPr>
          <w:trHeight w:val="510" w:hRule="atLeast"/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未测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待本项目实测证据</w:t>
            </w:r>
          </w:p>
        </w:tc>
      </w:tr>
      <w:tr>
        <w:trPr>
          <w:trHeight w:val="510" w:hRule="atLeast"/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未测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待本项目实测证据</w:t>
            </w:r>
          </w:p>
        </w:tc>
      </w:tr>
      <w:tr>
        <w:trPr>
          <w:trHeight w:val="510" w:hRule="atLeast"/>
          <w:cantSplit/>
        </w:trPr>
        <w:tc>
          <w:tcPr>
            <w:tcW w:type="dxa" w:w="850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未测</w:t>
            </w:r>
          </w:p>
        </w:tc>
        <w:tc>
          <w:tcPr>
            <w:tcW w:type="dxa" w:w="7483"/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b w:val="0"/>
                <w:sz w:val="21"/>
              </w:rPr>
              <w:t>待本项目实测证据</w:t>
            </w:r>
          </w:p>
        </w:tc>
      </w:tr>
    </w:tbl>
    <w:p>
      <w:pPr>
        <w:spacing w:after="80" w:line="60" w:lineRule="exact"/>
      </w:pPr>
      <w:r>
        <w:rPr>
          <w:b w:val="0"/>
          <w:sz w:val="6"/>
        </w:rPr>
      </w:r>
    </w:p>
    <w:p>
      <w:pPr>
        <w:pStyle w:val="Heading2"/>
      </w:pPr>
      <w:r>
        <w:t>如何判断一轮测试结束</w:t>
      </w:r>
    </w:p>
    <w:p>
      <w:r>
        <w:rPr>
          <w:b w:val="0"/>
        </w:rPr>
        <w:t>通过：事先目标达成且证据支持。需补测：关键信息或证据不足，尚不能判断。未通过：有证据证明目标未达成。人工复核状态单独记录；AI整理完成不等于有人已经签字确认。</w:t>
      </w:r>
    </w:p>
    <w:p>
      <w:r>
        <w:rPr>
          <w:b w:val="0"/>
          <w:sz w:val="20"/>
        </w:rPr>
        <w:t>相关文件：00开发路线安排阶段；01模板保存正式数据；02资源规范和04接口约定用于开发检查。本Word负责让操作人知道下一步怎么测。</w:t>
      </w:r>
    </w:p>
    <w:sectPr w:rsidR="00FC693F" w:rsidRPr="0006063C" w:rsidSect="00034616">
      <w:footerReference w:type="default" r:id="rId9"/>
      <w:pgSz w:w="11906" w:h="16838"/>
      <w:pgMar w:top="964" w:right="1077" w:bottom="964" w:left="1077" w:header="720" w:footer="45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0" w:lineRule="exact"/>
      <w:widowControl/>
      <w:snapToGrid w:val="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 w:line="46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32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600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320" w:lineRule="exact"/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载带检测项目操作与证据采集手册</dc:title>
  <dc:subject>人执行实物测试 AI整理证据与填写验收记录</dc:subject>
  <dc:creator/>
  <cp:keywords>FPGA 载带检测 计划 审核 填写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