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20CEF" w14:textId="1F38C2BC" w:rsidR="00FE0EE8" w:rsidRPr="007561C0" w:rsidRDefault="00E9517A" w:rsidP="00FE0EE8">
      <w:pPr>
        <w:pStyle w:val="P68B1DB1-a19"/>
        <w:spacing w:line="480" w:lineRule="auto"/>
        <w:jc w:val="center"/>
        <w:rPr>
          <w:rFonts w:ascii="Times New Roman" w:hAnsi="Times New Roman" w:hint="default"/>
          <w:color w:val="000000" w:themeColor="text1"/>
        </w:rPr>
      </w:pPr>
      <w:r>
        <w:rPr>
          <w:noProof/>
        </w:rPr>
        <w:drawing>
          <wp:inline distT="0" distB="0" distL="0" distR="0" wp14:anchorId="6EF88E3A" wp14:editId="417646CB">
            <wp:extent cx="4987290" cy="1064260"/>
            <wp:effectExtent l="0" t="0" r="3810" b="2540"/>
            <wp:docPr id="139470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3"/>
                    <a:stretch/>
                  </pic:blipFill>
                  <pic:spPr bwMode="auto">
                    <a:xfrm>
                      <a:off x="0" y="0"/>
                      <a:ext cx="498729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7345F" w14:textId="77777777" w:rsidR="00FE0EE8" w:rsidRPr="007561C0" w:rsidRDefault="00FE0EE8" w:rsidP="00FE0EE8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color w:val="000000" w:themeColor="text1"/>
        </w:rPr>
        <w:t>Figure 3.3 Structural diagram of the Squeeze-and-Excitation (SE) block</w:t>
      </w:r>
    </w:p>
    <w:p w14:paraId="2F90EA9E" w14:textId="77777777" w:rsidR="00FE0EE8" w:rsidRPr="007561C0" w:rsidRDefault="00FE0EE8" w:rsidP="00FE0EE8">
      <w:pPr>
        <w:spacing w:line="480" w:lineRule="auto"/>
        <w:rPr>
          <w:color w:val="000000" w:themeColor="text1"/>
          <w:szCs w:val="21"/>
        </w:rPr>
      </w:pPr>
      <w:r w:rsidRPr="007561C0">
        <w:rPr>
          <w:color w:val="000000" w:themeColor="text1"/>
          <w:sz w:val="18"/>
          <w:szCs w:val="18"/>
        </w:rPr>
        <w:t>Note. Reprinted from Squeeze-and-excitation networks, by J. Hu, S. Li, S. Albanie, et al. (2019), IEEE Transactions on Pattern Analysis and Machine Intelligence, 42(8) . DOI: 10.1109/tpami.2019.2913372.</w:t>
      </w:r>
    </w:p>
    <w:sectPr w:rsidR="00FE0EE8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7D39" w14:textId="77777777" w:rsidR="00596DDA" w:rsidRDefault="00596DDA">
      <w:r>
        <w:separator/>
      </w:r>
    </w:p>
  </w:endnote>
  <w:endnote w:type="continuationSeparator" w:id="0">
    <w:p w14:paraId="65636BDE" w14:textId="77777777" w:rsidR="00596DDA" w:rsidRDefault="0059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86D85D-E053-444A-A8E1-8C22A996BF0C}"/>
    <w:embedBold r:id="rId2" w:fontKey="{6439377E-3394-4943-B046-69A93E11C9D0}"/>
    <w:embedItalic r:id="rId3" w:fontKey="{E9F553CD-5FA5-4EA1-A7AA-5399B0F7A97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subsetted="1" w:fontKey="{3C151727-0392-4C79-8A16-2ED8F6B20A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C0E55" w14:textId="77777777" w:rsidR="00596DDA" w:rsidRDefault="00596DDA">
      <w:r>
        <w:separator/>
      </w:r>
    </w:p>
  </w:footnote>
  <w:footnote w:type="continuationSeparator" w:id="0">
    <w:p w14:paraId="75154816" w14:textId="77777777" w:rsidR="00596DDA" w:rsidRDefault="00596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2F0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310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DDA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353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177F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17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41</Words>
  <Characters>235</Characters>
  <Application>Microsoft Office Word</Application>
  <DocSecurity>0</DocSecurity>
  <Lines>1</Lines>
  <Paragraphs>1</Paragraphs>
  <ScaleCrop>false</ScaleCrop>
  <Company>微软中国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333</cp:revision>
  <cp:lastPrinted>2026-06-26T01:56:00Z</cp:lastPrinted>
  <dcterms:created xsi:type="dcterms:W3CDTF">2017-04-24T01:41:00Z</dcterms:created>
  <dcterms:modified xsi:type="dcterms:W3CDTF">2026-07-01T23:47:00Z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