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eastAsia="SimSun"/>
          <w:b/>
          <w:color w:val="000000"/>
          <w:sz w:val="36"/>
        </w:rPr>
        <w:t>邻井压力时序聚类与压窜风险分类</w:t>
        <w:br/>
        <w:t>试验方案</w:t>
      </w:r>
    </w:p>
    <w:p>
      <w:pPr>
        <w:widowControl/>
        <w:spacing w:line="280" w:lineRule="exact" w:after="100"/>
        <w:ind w:firstLine="0"/>
        <w:jc w:val="center"/>
      </w:pPr>
      <w:r>
        <w:rPr>
          <w:rFonts w:ascii="Times New Roman" w:hAnsi="Times New Roman" w:cs="Times New Roman" w:eastAsia="SimSun"/>
          <w:b w:val="0"/>
          <w:color w:val="000000"/>
          <w:sz w:val="21"/>
        </w:rPr>
        <w:t>多平台研究  ·  地质工程参数预测  ·  地质力学解释</w:t>
      </w:r>
    </w:p>
    <w:p>
      <w:pPr>
        <w:widowControl/>
        <w:spacing w:line="280" w:lineRule="exact" w:after="200"/>
        <w:ind w:firstLine="0"/>
        <w:jc w:val="center"/>
      </w:pPr>
      <w:r>
        <w:rPr>
          <w:rFonts w:ascii="Times New Roman" w:hAnsi="Times New Roman" w:cs="Times New Roman" w:eastAsia="SimSun"/>
          <w:b w:val="0"/>
          <w:color w:val="000000"/>
          <w:sz w:val="21"/>
        </w:rPr>
        <w:t>V2  |  2026年9月15日</w:t>
      </w:r>
    </w:p>
    <w:p>
      <w:pPr>
        <w:widowControl/>
        <w:spacing w:line="360" w:lineRule="exact" w:after="0"/>
        <w:ind w:firstLine="480"/>
        <w:jc w:val="both"/>
      </w:pPr>
      <w:r>
        <w:rPr>
          <w:rFonts w:ascii="Times New Roman" w:hAnsi="Times New Roman" w:cs="Times New Roman" w:eastAsia="SimSun"/>
          <w:b w:val="0"/>
          <w:color w:val="000000"/>
          <w:sz w:val="24"/>
        </w:rPr>
        <w:t>本研究以“识别邻井压力响应类型，预测不同地质工程条件下的压窜风险类型，并解释其地质力学控制因素”为核心目标。拟采用五步主线：邻井压力时序聚类；类型命名与风险解释；微地震独立验证；地质工程参数驱动的多分类预测；SHAP 与地质力学机制联合分析。</w:t>
      </w:r>
    </w:p>
    <w:p>
      <w:pPr>
        <w:widowControl/>
        <w:spacing w:line="360" w:lineRule="exact" w:after="0"/>
        <w:ind w:firstLine="480"/>
        <w:jc w:val="both"/>
      </w:pPr>
      <w:r>
        <w:rPr>
          <w:rFonts w:ascii="Times New Roman" w:hAnsi="Times New Roman" w:cs="Times New Roman" w:eastAsia="SimSun"/>
          <w:b w:val="0"/>
          <w:color w:val="000000"/>
          <w:sz w:val="24"/>
        </w:rPr>
        <w:t>监督学习的主任务确定为分类。预测对象是一段压裂施工可能在某一邻井引起的响应类型；输入限定为该段开工前已知的地质、力学、井间几何和工程设计参数。完整压力曲线用于事后建立和核验标签。压力涨幅等连续量用于描述类别、判定风险和验证结果，不另设主线回归任务。</w:t>
      </w:r>
    </w:p>
    <w:p>
      <w:pPr>
        <w:pStyle w:val="Heading1"/>
      </w:pPr>
      <w:r>
        <w:rPr>
          <w:rFonts w:ascii="Times New Roman" w:hAnsi="Times New Roman" w:cs="Times New Roman" w:eastAsia="SimSun"/>
          <w:b/>
          <w:color w:val="000000"/>
          <w:sz w:val="30"/>
        </w:rPr>
        <w:t>1 研究问题与总体设计</w:t>
      </w:r>
    </w:p>
    <w:p>
      <w:pPr>
        <w:widowControl/>
        <w:spacing w:line="360" w:lineRule="exact" w:after="0"/>
        <w:ind w:firstLine="480"/>
        <w:jc w:val="both"/>
      </w:pPr>
      <w:r>
        <w:rPr>
          <w:rFonts w:ascii="Times New Roman" w:hAnsi="Times New Roman" w:cs="Times New Roman" w:eastAsia="SimSun"/>
          <w:b w:val="0"/>
          <w:color w:val="000000"/>
          <w:sz w:val="24"/>
        </w:rPr>
        <w:t>论文拟回答三个问题：邻井压力曲线是否存在跨井段、跨平台可重复的响应模式；这些模式在响应强度和独立监测证据上有何差异；哪些地质力学与工程条件能够预测模式的出现，并与其可能的形成过程相对应。建议题目为“基于时序聚类与可解释机器学习的深层页岩气压窜风险分类及地质力学控制因素研究”。</w:t>
      </w:r>
    </w:p>
    <w:p>
      <w:pPr>
        <w:keepNext/>
        <w:widowControl/>
        <w:spacing w:line="280" w:lineRule="exact" w:after="100"/>
        <w:ind w:firstLine="0"/>
        <w:jc w:val="center"/>
      </w:pPr>
      <w:r>
        <w:rPr>
          <w:rFonts w:ascii="Times New Roman" w:hAnsi="Times New Roman" w:cs="Times New Roman" w:eastAsia="SimSun"/>
          <w:b w:val="0"/>
          <w:color w:val="000000"/>
          <w:sz w:val="21"/>
        </w:rPr>
        <w:t>表 1 五个研究环节的输入、算法与输出</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440"/>
        <w:gridCol w:w="3168"/>
        <w:gridCol w:w="2736"/>
        <w:gridCol w:w="2736"/>
      </w:tblGrid>
      <w:tr>
        <w:trPr>
          <w:cantSplit/>
          <w:tblHeader/>
        </w:trPr>
        <w:tc>
          <w:tcPr>
            <w:tcW w:type="dxa" w:w="1440"/>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环节</w:t>
            </w:r>
          </w:p>
        </w:tc>
        <w:tc>
          <w:tcPr>
            <w:tcW w:type="dxa" w:w="316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输入</w:t>
            </w:r>
          </w:p>
        </w:tc>
        <w:tc>
          <w:tcPr>
            <w:tcW w:type="dxa" w:w="273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方法</w:t>
            </w:r>
          </w:p>
        </w:tc>
        <w:tc>
          <w:tcPr>
            <w:tcW w:type="dxa" w:w="273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输出</w:t>
            </w:r>
          </w:p>
        </w:tc>
      </w:tr>
      <w:tr>
        <w:trPr>
          <w:cantSplit/>
        </w:trPr>
        <w:tc>
          <w:tcPr>
            <w:tcW w:type="dxa" w:w="144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① 时序聚类</w:t>
            </w:r>
          </w:p>
        </w:tc>
        <w:tc>
          <w:tcPr>
            <w:tcW w:type="dxa" w:w="31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经质量控制、基线校正及时间对齐的邻井压力曲线</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受限 DTW＋k-medoids；Soft-DTW k-means；特征＋Ward 对照</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聚类类别 C、实际代表曲线、稳定性与边界样本</w:t>
            </w:r>
          </w:p>
        </w:tc>
      </w:tr>
      <w:tr>
        <w:trPr>
          <w:cantSplit/>
        </w:trPr>
        <w:tc>
          <w:tcPr>
            <w:tcW w:type="dxa" w:w="144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② 风险类型定义</w:t>
            </w:r>
          </w:p>
        </w:tc>
        <w:tc>
          <w:tcPr>
            <w:tcW w:type="dxa" w:w="31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聚类结果；原始时间尺度的幅度、速度、时滞和持续性</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盲审命名；固定风险指标；类别内风险分布检查</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风险类型 T、压力响应风险等级 R、标签字典</w:t>
            </w:r>
          </w:p>
        </w:tc>
      </w:tr>
      <w:tr>
        <w:trPr>
          <w:cantSplit/>
        </w:trPr>
        <w:tc>
          <w:tcPr>
            <w:tcW w:type="dxa" w:w="144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③ 微地震验证</w:t>
            </w:r>
          </w:p>
        </w:tc>
        <w:tc>
          <w:tcPr>
            <w:tcW w:type="dxa" w:w="31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已冻结标签；微地震事件；井轨迹与施工时间</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空间接近度、事件迁移、时间一致性与匹配案例</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独立证据等级、支持及不支持的案例</w:t>
            </w:r>
          </w:p>
        </w:tc>
      </w:tr>
      <w:tr>
        <w:trPr>
          <w:cantSplit/>
        </w:trPr>
        <w:tc>
          <w:tcPr>
            <w:tcW w:type="dxa" w:w="144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④ 风险类型预测</w:t>
            </w:r>
          </w:p>
        </w:tc>
        <w:tc>
          <w:tcPr>
            <w:tcW w:type="dxa" w:w="31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施工前地质、力学、几何和设计参数 X；标签 T</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XGBoost、随机森林、多项逻辑回归</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类型概率、预测类型、跨平台表现</w:t>
            </w:r>
          </w:p>
        </w:tc>
      </w:tr>
      <w:tr>
        <w:trPr>
          <w:cantSplit/>
        </w:trPr>
        <w:tc>
          <w:tcPr>
            <w:tcW w:type="dxa" w:w="144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⑤ 机制解释</w:t>
            </w:r>
          </w:p>
        </w:tc>
        <w:tc>
          <w:tcPr>
            <w:tcW w:type="dxa" w:w="31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验证合格的模型；样本外预测；独立监测</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分类型 SHAP；特征组消融；案例与力学判据</w:t>
            </w:r>
          </w:p>
        </w:tc>
        <w:tc>
          <w:tcPr>
            <w:tcW w:type="dxa" w:w="27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关键因素、作用区间、交互关系及机制证据表</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预期成果是一套可扩展的响应类型库、一个施工前风险类型分类模型，以及一组有现场证据支持的地质力学解释。类别数、最优算法、风险排序和主要影响因素均由试验确定，不预设必须得到五类，也不以复现参考图中的机理对应关系作为评价标准。</w:t>
      </w:r>
    </w:p>
    <w:p>
      <w:pPr>
        <w:pStyle w:val="Heading1"/>
      </w:pPr>
      <w:r>
        <w:rPr>
          <w:rFonts w:ascii="Times New Roman" w:hAnsi="Times New Roman" w:cs="Times New Roman" w:eastAsia="SimSun"/>
          <w:b/>
          <w:color w:val="000000"/>
          <w:sz w:val="30"/>
        </w:rPr>
        <w:t>2 数据组织、样本单位与独立划分</w:t>
      </w:r>
    </w:p>
    <w:p>
      <w:pPr>
        <w:pStyle w:val="Heading2"/>
      </w:pPr>
      <w:r>
        <w:rPr>
          <w:rFonts w:ascii="Times New Roman" w:hAnsi="Times New Roman" w:cs="Times New Roman" w:eastAsia="SimSun"/>
          <w:b/>
          <w:color w:val="000000"/>
          <w:sz w:val="24"/>
        </w:rPr>
        <w:t>2.1 一条样本的定义</w:t>
      </w:r>
    </w:p>
    <w:p>
      <w:pPr>
        <w:widowControl/>
        <w:spacing w:line="360" w:lineRule="exact" w:after="0"/>
        <w:ind w:firstLine="480"/>
        <w:jc w:val="both"/>
      </w:pPr>
      <w:r>
        <w:rPr>
          <w:rFonts w:ascii="Times New Roman" w:hAnsi="Times New Roman" w:cs="Times New Roman" w:eastAsia="SimSun"/>
          <w:b w:val="0"/>
          <w:color w:val="000000"/>
          <w:sz w:val="24"/>
        </w:rPr>
        <w:t>一条样本定义为“平台—压裂井—施工段／独立施工事件—监测邻井”的一次响应。一个施工段对应三个监测邻井时形成三条样本，但三者共享施工条件，应归为同一施工段组。采样点、重复导出的文件和同一事件的多个切片均不计为新的独立样本。</w:t>
      </w:r>
    </w:p>
    <w:p>
      <w:pPr>
        <w:widowControl/>
        <w:spacing w:line="360" w:lineRule="exact" w:after="0"/>
        <w:ind w:firstLine="480"/>
        <w:jc w:val="both"/>
      </w:pPr>
      <w:r>
        <w:rPr>
          <w:rFonts w:ascii="Times New Roman" w:hAnsi="Times New Roman" w:cs="Times New Roman" w:eastAsia="SimSun"/>
          <w:b w:val="0"/>
          <w:color w:val="000000"/>
          <w:sz w:val="24"/>
        </w:rPr>
        <w:t>统一设置 platform_id、source_well、stage_id、episode_id、monitor_well、physical_pair_id 和 sample_id。同段中断后复施工需根据施工日志划分 episode；同一段的所有 episode 在验证时保持同组。多井同时作业且无法分离来源的响应标记为复合作业，不强行归因给单一压裂井。</w:t>
      </w:r>
    </w:p>
    <w:p>
      <w:pPr>
        <w:keepNext/>
        <w:widowControl/>
        <w:spacing w:line="280" w:lineRule="exact" w:after="100"/>
        <w:ind w:firstLine="0"/>
        <w:jc w:val="center"/>
      </w:pPr>
      <w:r>
        <w:rPr>
          <w:rFonts w:ascii="Times New Roman" w:hAnsi="Times New Roman" w:cs="Times New Roman" w:eastAsia="SimSun"/>
          <w:b w:val="0"/>
          <w:color w:val="000000"/>
          <w:sz w:val="21"/>
        </w:rPr>
        <w:t>表 2 原始资料及其具体用途</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16"/>
        <w:gridCol w:w="5256"/>
        <w:gridCol w:w="2808"/>
      </w:tblGrid>
      <w:tr>
        <w:trPr>
          <w:cantSplit/>
          <w:tblHeader/>
        </w:trPr>
        <w:tc>
          <w:tcPr>
            <w:tcW w:type="dxa" w:w="201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资料</w:t>
            </w:r>
          </w:p>
        </w:tc>
        <w:tc>
          <w:tcPr>
            <w:tcW w:type="dxa" w:w="525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最少字段／信息</w:t>
            </w:r>
          </w:p>
        </w:tc>
        <w:tc>
          <w:tcPr>
            <w:tcW w:type="dxa" w:w="280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进入的环节</w:t>
            </w:r>
          </w:p>
        </w:tc>
      </w:tr>
      <w:tr>
        <w:trPr>
          <w:cantSplit/>
        </w:trPr>
        <w:tc>
          <w:tcPr>
            <w:tcW w:type="dxa" w:w="20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邻井压力原始数据</w:t>
            </w:r>
          </w:p>
        </w:tc>
        <w:tc>
          <w:tcPr>
            <w:tcW w:type="dxa" w:w="525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绝对时间、压力、压力类型与单位、采样间隔；开关井和仪表状态</w:t>
            </w:r>
          </w:p>
        </w:tc>
        <w:tc>
          <w:tcPr>
            <w:tcW w:type="dxa" w:w="280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①②：曲线及标签；不进入④的输入</w:t>
            </w:r>
          </w:p>
        </w:tc>
      </w:tr>
      <w:tr>
        <w:trPr>
          <w:cantSplit/>
        </w:trPr>
        <w:tc>
          <w:tcPr>
            <w:tcW w:type="dxa" w:w="20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施工原始数据与日志</w:t>
            </w:r>
          </w:p>
        </w:tc>
        <w:tc>
          <w:tcPr>
            <w:tcW w:type="dxa" w:w="525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时间、排量、施工压力、启停泵、段号、异常和应急调整时间</w:t>
            </w:r>
          </w:p>
        </w:tc>
        <w:tc>
          <w:tcPr>
            <w:tcW w:type="dxa" w:w="280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事件切分、时间对齐及③；计划值与实测值分开保存</w:t>
            </w:r>
          </w:p>
        </w:tc>
      </w:tr>
      <w:tr>
        <w:trPr>
          <w:cantSplit/>
        </w:trPr>
        <w:tc>
          <w:tcPr>
            <w:tcW w:type="dxa" w:w="20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井轨迹与射孔方案</w:t>
            </w:r>
          </w:p>
        </w:tc>
        <w:tc>
          <w:tcPr>
            <w:tcW w:type="dxa" w:w="525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统一坐标的轨迹点、MD／TVD、段界、簇位置、层位；方位角基准</w:t>
            </w:r>
          </w:p>
        </w:tc>
        <w:tc>
          <w:tcPr>
            <w:tcW w:type="dxa" w:w="280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④：段—邻井几何、空间关联；③：事件与井筒距离</w:t>
            </w:r>
          </w:p>
        </w:tc>
      </w:tr>
      <w:tr>
        <w:trPr>
          <w:cantSplit/>
        </w:trPr>
        <w:tc>
          <w:tcPr>
            <w:tcW w:type="dxa" w:w="20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测井解释及力学资料</w:t>
            </w:r>
          </w:p>
        </w:tc>
        <w:tc>
          <w:tcPr>
            <w:tcW w:type="dxa" w:w="525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E、ν、应力及其定义、孔隙度、层位界面；解释版本与深度域</w:t>
            </w:r>
          </w:p>
        </w:tc>
        <w:tc>
          <w:tcPr>
            <w:tcW w:type="dxa" w:w="280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④⑤：基础力学、层间差异和段内非均质性</w:t>
            </w:r>
          </w:p>
        </w:tc>
      </w:tr>
      <w:tr>
        <w:trPr>
          <w:cantSplit/>
        </w:trPr>
        <w:tc>
          <w:tcPr>
            <w:tcW w:type="dxa" w:w="20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开工前工程设计</w:t>
            </w:r>
          </w:p>
        </w:tc>
        <w:tc>
          <w:tcPr>
            <w:tcW w:type="dxa" w:w="525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段长、簇数与簇间距、计划排量、计划液量和砂量、施工次序</w:t>
            </w:r>
          </w:p>
        </w:tc>
        <w:tc>
          <w:tcPr>
            <w:tcW w:type="dxa" w:w="280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④：工程输入；以施工前保存版本为准</w:t>
            </w:r>
          </w:p>
        </w:tc>
      </w:tr>
      <w:tr>
        <w:trPr>
          <w:cantSplit/>
        </w:trPr>
        <w:tc>
          <w:tcPr>
            <w:tcW w:type="dxa" w:w="20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微地震与光纤</w:t>
            </w:r>
          </w:p>
        </w:tc>
        <w:tc>
          <w:tcPr>
            <w:tcW w:type="dxa" w:w="525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事件时间、XYZ、定位误差及震级；光纤应变图的时间／深度标尺</w:t>
            </w:r>
          </w:p>
        </w:tc>
        <w:tc>
          <w:tcPr>
            <w:tcW w:type="dxa" w:w="280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③⑤：独立验证与案例解释</w:t>
            </w:r>
          </w:p>
        </w:tc>
      </w:tr>
      <w:tr>
        <w:trPr>
          <w:cantSplit/>
        </w:trPr>
        <w:tc>
          <w:tcPr>
            <w:tcW w:type="dxa" w:w="20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SGY、层位及裂缝解释</w:t>
            </w:r>
          </w:p>
        </w:tc>
        <w:tc>
          <w:tcPr>
            <w:tcW w:type="dxa" w:w="525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地震坐标与垂向域、属性定义、处理流程、井震标定、解释图图例</w:t>
            </w:r>
          </w:p>
        </w:tc>
        <w:tc>
          <w:tcPr>
            <w:tcW w:type="dxa" w:w="280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④⑤：有条件的裂缝／构造代理特征</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L201H5 可用于跑通事件切分、曲线处理和字段映射，正式聚类和模型比较随新增平台扩展。原 SGY 文件名含 LU205H5，应先核对平台归属及井名映射；不能仅按相似井名并入 L201H5。小层表中的“顶深—底深”需明确是 MD、TVD 还是地层厚度，且确认“最大／最小主应力”是否确指水平主应力，再计算应力差与隔层参数。</w:t>
      </w:r>
    </w:p>
    <w:p>
      <w:pPr>
        <w:pStyle w:val="Heading2"/>
      </w:pPr>
      <w:r>
        <w:rPr>
          <w:rFonts w:ascii="Times New Roman" w:hAnsi="Times New Roman" w:cs="Times New Roman" w:eastAsia="SimSun"/>
          <w:b/>
          <w:color w:val="000000"/>
          <w:sz w:val="24"/>
        </w:rPr>
        <w:t>2.2 在聚类之前划分数据用途</w:t>
      </w:r>
    </w:p>
    <w:p>
      <w:pPr>
        <w:widowControl/>
        <w:spacing w:line="360" w:lineRule="exact" w:after="0"/>
        <w:ind w:firstLine="480"/>
        <w:jc w:val="both"/>
      </w:pPr>
      <w:r>
        <w:rPr>
          <w:rFonts w:ascii="Times New Roman" w:hAnsi="Times New Roman" w:cs="Times New Roman" w:eastAsia="SimSun"/>
          <w:b w:val="0"/>
          <w:color w:val="000000"/>
          <w:sz w:val="24"/>
        </w:rPr>
        <w:t>优先将完整平台分为类型发现集 D0、分类开发集 D1 和最终测试集 D2。D0 用于预处理规则、聚类优选、命名和标签字典冻结；D1 的压力曲线按冻结字典赋标签，随后用于分组交叉验证、参数选择与校准；D2 在全部规则确定后用于最终跨平台检验。井对共享或空间高度重叠的平台应合并为同一地理组。</w:t>
      </w:r>
    </w:p>
    <w:p>
      <w:pPr>
        <w:widowControl/>
        <w:spacing w:line="360" w:lineRule="exact" w:after="0"/>
        <w:ind w:firstLine="480"/>
        <w:jc w:val="both"/>
      </w:pPr>
      <w:r>
        <w:rPr>
          <w:rFonts w:ascii="Times New Roman" w:hAnsi="Times New Roman" w:cs="Times New Roman" w:eastAsia="SimSun"/>
          <w:b w:val="0"/>
          <w:color w:val="000000"/>
          <w:sz w:val="24"/>
        </w:rPr>
        <w:t>平台数不足时，可在一个事先指定的发现平台上建立字典，其余平台采用留一平台验证；同时报告字典对发现平台的依赖，并将后续新增完整平台作为外部测试。仅一个平台时只能完成方法试运行与留井对检查，不据此宣称跨平台泛化。每个结果均同时报告平台数、物理井对数、施工段数及样本数。</w:t>
      </w:r>
    </w:p>
    <w:p>
      <w:pPr>
        <w:pStyle w:val="Heading1"/>
      </w:pPr>
      <w:r>
        <w:rPr>
          <w:rFonts w:ascii="Times New Roman" w:hAnsi="Times New Roman" w:cs="Times New Roman" w:eastAsia="SimSun"/>
          <w:b/>
          <w:color w:val="000000"/>
          <w:sz w:val="30"/>
        </w:rPr>
        <w:t>3 第一步：邻井压力时序聚类</w:t>
      </w:r>
    </w:p>
    <w:p>
      <w:pPr>
        <w:pStyle w:val="Heading2"/>
      </w:pPr>
      <w:r>
        <w:rPr>
          <w:rFonts w:ascii="Times New Roman" w:hAnsi="Times New Roman" w:cs="Times New Roman" w:eastAsia="SimSun"/>
          <w:b/>
          <w:color w:val="000000"/>
          <w:sz w:val="24"/>
        </w:rPr>
        <w:t>3.1 预处理及曲线表示</w:t>
      </w:r>
    </w:p>
    <w:p>
      <w:pPr>
        <w:widowControl/>
        <w:spacing w:line="360" w:lineRule="exact" w:after="0"/>
        <w:ind w:firstLine="480"/>
        <w:jc w:val="both"/>
      </w:pPr>
      <w:r>
        <w:rPr>
          <w:rFonts w:ascii="Times New Roman" w:hAnsi="Times New Roman" w:cs="Times New Roman" w:eastAsia="SimSun"/>
          <w:b w:val="0"/>
          <w:color w:val="000000"/>
          <w:sz w:val="24"/>
        </w:rPr>
        <w:t>以施工日志和持续排量确定起泵时间 t₀、结束时间 t₁。主聚类窗口为完整施工事件 [t₀,t₁]，保留中间停泵信息；起泵前基线与停泵后恢复段单独存储。使用共同的起泵时刻对齐，不能把每条曲线各自的起涨点强行移到零点，否则会丢失响应时滞。</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144"/>
        <w:gridCol w:w="936"/>
      </w:tblGrid>
      <w:tr>
        <w:tc>
          <w:tcPr>
            <w:tcW w:type="dxa" w:w="9144"/>
          </w:tcPr>
          <w:p>
            <w:pPr>
              <w:spacing w:line="540" w:lineRule="exact"/>
              <w:ind w:firstLine="0"/>
              <w:jc w:val="center"/>
            </w:pPr>
            <m:oMath>
              <m:sSub>
                <m:e>
                  <m:r>
                    <m:rPr>
                      <m:sty m:val="p"/>
                    </m:rPr>
                    <m:t>p</m:t>
                  </m:r>
                </m:e>
                <m:sub>
                  <m:r>
                    <m:rPr>
                      <m:sty m:val="p"/>
                    </m:rPr>
                    <m:t>0</m:t>
                  </m:r>
                </m:sub>
              </m:sSub>
              <m:r>
                <m:rPr>
                  <m:sty m:val="p"/>
                </m:rPr>
                <m:t> = median{p(t): t ∈ [t₀ − 300 s, t₀ − 30 s]},   Δp(t) = p(t) − </m:t>
              </m:r>
              <m:sSub>
                <m:e>
                  <m:r>
                    <m:rPr>
                      <m:sty m:val="p"/>
                    </m:rPr>
                    <m:t>p</m:t>
                  </m:r>
                </m:e>
                <m:sub>
                  <m:r>
                    <m:rPr>
                      <m:sty m:val="p"/>
                    </m:rPr>
                    <m:t>0</m:t>
                  </m:r>
                </m:sub>
              </m:sSub>
            </m:oMath>
          </w:p>
        </w:tc>
        <w:tc>
          <w:tcPr>
            <w:tcW w:type="dxa" w:w="936"/>
          </w:tcPr>
          <w:p>
            <w:pPr>
              <w:spacing w:line="540" w:lineRule="exact"/>
              <w:ind w:firstLine="0"/>
              <w:jc w:val="center"/>
            </w:pPr>
            <w:r>
              <w:rPr>
                <w:rFonts w:ascii="Times New Roman" w:hAnsi="Times New Roman" w:cs="Times New Roman" w:eastAsia="SimSun"/>
                <w:b w:val="0"/>
                <w:color w:val="000000"/>
                <w:sz w:val="24"/>
              </w:rPr>
              <w:t>(1)</w:t>
            </w:r>
          </w:p>
        </w:tc>
      </w:tr>
    </w:tbl>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144"/>
        <w:gridCol w:w="936"/>
      </w:tblGrid>
      <w:tr>
        <w:tc>
          <w:tcPr>
            <w:tcW w:type="dxa" w:w="9144"/>
          </w:tcPr>
          <w:p>
            <w:pPr>
              <w:spacing w:line="540" w:lineRule="exact"/>
              <w:ind w:firstLine="0"/>
              <w:jc w:val="center"/>
            </w:pPr>
            <m:oMath>
              <m:r>
                <m:rPr>
                  <m:sty m:val="p"/>
                </m:rPr>
                <m:t>u = </m:t>
              </m:r>
              <m:f>
                <m:num>
                  <m:r>
                    <m:rPr>
                      <m:sty m:val="p"/>
                    </m:rPr>
                    <m:t>t − t₀</m:t>
                  </m:r>
                </m:num>
                <m:den>
                  <m:r>
                    <m:rPr>
                      <m:sty m:val="p"/>
                    </m:rPr>
                    <m:t>t₁ − t₀</m:t>
                  </m:r>
                </m:den>
              </m:f>
              <m:r>
                <m:rPr>
                  <m:sty m:val="p"/>
                </m:rPr>
                <m:t>,    0 ≤ u ≤ 1</m:t>
              </m:r>
            </m:oMath>
          </w:p>
        </w:tc>
        <w:tc>
          <w:tcPr>
            <w:tcW w:type="dxa" w:w="936"/>
          </w:tcPr>
          <w:p>
            <w:pPr>
              <w:spacing w:line="540" w:lineRule="exact"/>
              <w:ind w:firstLine="0"/>
              <w:jc w:val="center"/>
            </w:pPr>
            <w:r>
              <w:rPr>
                <w:rFonts w:ascii="Times New Roman" w:hAnsi="Times New Roman" w:cs="Times New Roman" w:eastAsia="SimSun"/>
                <w:b w:val="0"/>
                <w:color w:val="000000"/>
                <w:sz w:val="24"/>
              </w:rPr>
              <w:t>(2)</w:t>
            </w:r>
          </w:p>
        </w:tc>
      </w:tr>
    </w:tbl>
    <w:p>
      <w:pPr>
        <w:widowControl/>
        <w:spacing w:line="360" w:lineRule="exact" w:after="0"/>
        <w:ind w:firstLine="480"/>
        <w:jc w:val="both"/>
      </w:pPr>
      <w:r>
        <w:rPr>
          <w:rFonts w:ascii="Times New Roman" w:hAnsi="Times New Roman" w:cs="Times New Roman" w:eastAsia="SimSun"/>
          <w:b w:val="0"/>
          <w:color w:val="000000"/>
          <w:sz w:val="24"/>
        </w:rPr>
        <w:t>上述基线窗口为首轮试验设置；基线可用数据至少覆盖 180 s，记录基线斜率和波动。以 5 s 为首轮公共采样间隔，将施工段时间归一化为 201 个点用于波形比较，同时保留分钟和 MPa 的原始尺度。不同采样率的数据只在其实际时间分辨率允许时重采样，低频记录不能通过插值变成高频观测。</w:t>
      </w:r>
    </w:p>
    <w:p>
      <w:pPr>
        <w:keepNext/>
        <w:widowControl/>
        <w:spacing w:line="280" w:lineRule="exact" w:after="100"/>
        <w:ind w:firstLine="0"/>
        <w:jc w:val="center"/>
      </w:pPr>
      <w:r>
        <w:rPr>
          <w:rFonts w:ascii="Times New Roman" w:hAnsi="Times New Roman" w:cs="Times New Roman" w:eastAsia="SimSun"/>
          <w:b w:val="0"/>
          <w:color w:val="000000"/>
          <w:sz w:val="21"/>
        </w:rPr>
        <w:t>表 3 预处理规则与敏感性检查</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584"/>
        <w:gridCol w:w="4320"/>
        <w:gridCol w:w="4176"/>
      </w:tblGrid>
      <w:tr>
        <w:trPr>
          <w:cantSplit/>
          <w:tblHeader/>
        </w:trPr>
        <w:tc>
          <w:tcPr>
            <w:tcW w:type="dxa" w:w="1584"/>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项目</w:t>
            </w:r>
          </w:p>
        </w:tc>
        <w:tc>
          <w:tcPr>
            <w:tcW w:type="dxa" w:w="4320"/>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主方案</w:t>
            </w:r>
          </w:p>
        </w:tc>
        <w:tc>
          <w:tcPr>
            <w:tcW w:type="dxa" w:w="417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必须保留／检查的内容</w:t>
            </w:r>
          </w:p>
        </w:tc>
      </w:tr>
      <w:tr>
        <w:trPr>
          <w:cantSplit/>
        </w:trPr>
        <w:tc>
          <w:tcPr>
            <w:tcW w:type="dxa" w:w="158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时间与压力基准</w:t>
            </w:r>
          </w:p>
        </w:tc>
        <w:tc>
          <w:tcPr>
            <w:tcW w:type="dxa" w:w="432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先校对设备时钟、日期及跨日记录；统一压力单位和仪表类型</w:t>
            </w:r>
          </w:p>
        </w:tc>
        <w:tc>
          <w:tcPr>
            <w:tcW w:type="dxa" w:w="41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不通过“最大相关”任意平移时间来制造一致性</w:t>
            </w:r>
          </w:p>
        </w:tc>
      </w:tr>
      <w:tr>
        <w:trPr>
          <w:cantSplit/>
        </w:trPr>
        <w:tc>
          <w:tcPr>
            <w:tcW w:type="dxa" w:w="158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尖峰与缺测</w:t>
            </w:r>
          </w:p>
        </w:tc>
        <w:tc>
          <w:tcPr>
            <w:tcW w:type="dxa" w:w="432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只去除孤立仪表尖峰；短缺口至多 30 s 插值，长缺口保留缺测</w:t>
            </w:r>
          </w:p>
        </w:tc>
        <w:tc>
          <w:tcPr>
            <w:tcW w:type="dxa" w:w="41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平滑前后峰值和起涨时间；阶跃与先降后升形态不能被抹去</w:t>
            </w:r>
          </w:p>
        </w:tc>
      </w:tr>
      <w:tr>
        <w:trPr>
          <w:cantSplit/>
        </w:trPr>
        <w:tc>
          <w:tcPr>
            <w:tcW w:type="dxa" w:w="158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样本纳入</w:t>
            </w:r>
          </w:p>
        </w:tc>
        <w:tc>
          <w:tcPr>
            <w:tcW w:type="dxa" w:w="432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原始覆盖率≥95%且无未补齐缺口；＞30 s 缺口者不进入主聚类；异常工况单列</w:t>
            </w:r>
          </w:p>
        </w:tc>
        <w:tc>
          <w:tcPr>
            <w:tcW w:type="dxa" w:w="41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更改覆盖率、基线和缺口阈值后的类型稳定性</w:t>
            </w:r>
          </w:p>
        </w:tc>
      </w:tr>
      <w:tr>
        <w:trPr>
          <w:cantSplit/>
        </w:trPr>
        <w:tc>
          <w:tcPr>
            <w:tcW w:type="dxa" w:w="158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幅度保留</w:t>
            </w:r>
          </w:p>
        </w:tc>
        <w:tc>
          <w:tcPr>
            <w:tcW w:type="dxa" w:w="432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使用 Δp 的 MPa 值；算法数值缩放对所有曲线采用同一尺度</w:t>
            </w:r>
          </w:p>
        </w:tc>
        <w:tc>
          <w:tcPr>
            <w:tcW w:type="dxa" w:w="41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逐条 z-score 或除以各自峰值仅作形状敏感性对照</w:t>
            </w:r>
          </w:p>
        </w:tc>
      </w:tr>
      <w:tr>
        <w:trPr>
          <w:cantSplit/>
        </w:trPr>
        <w:tc>
          <w:tcPr>
            <w:tcW w:type="dxa" w:w="158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辅助窗口</w:t>
            </w:r>
          </w:p>
        </w:tc>
        <w:tc>
          <w:tcPr>
            <w:tcW w:type="dxa" w:w="432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存储停泵后 10 min 或下次作业前的恢复段</w:t>
            </w:r>
          </w:p>
        </w:tc>
        <w:tc>
          <w:tcPr>
            <w:tcW w:type="dxa" w:w="41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恢复信息不全者标记缺失；主聚类不因缺少恢复段而补造数据</w:t>
            </w:r>
          </w:p>
        </w:tc>
      </w:tr>
      <w:tr>
        <w:trPr>
          <w:cantSplit/>
        </w:trPr>
        <w:tc>
          <w:tcPr>
            <w:tcW w:type="dxa" w:w="158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未变形响应指标</w:t>
            </w:r>
          </w:p>
        </w:tc>
        <w:tc>
          <w:tcPr>
            <w:tcW w:type="dxa" w:w="432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原始时间上提取持续涨幅、起涨时滞、斜率、下降幅度及恢复率</w:t>
            </w:r>
          </w:p>
        </w:tc>
        <w:tc>
          <w:tcPr>
            <w:tcW w:type="dxa" w:w="41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用于类别描述、风险解释和 Ward 对照，不进入地质参数分类模型</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起涨时滞按相对基线噪声的首次持续越限定义：起始阈值取 max（0.1 MPa，3 倍基线稳健标准差），并持续至少 60 s；阈值与持续时间在 D0 中作敏感性检查。未检出起涨的曲线保留“未检出”标记和右删失时长，不把时滞写成零。井口压力与地层孔隙压力分开存储，不能相互替代。</w:t>
      </w:r>
    </w:p>
    <w:p>
      <w:pPr>
        <w:pStyle w:val="Heading2"/>
      </w:pPr>
      <w:r>
        <w:rPr>
          <w:rFonts w:ascii="Times New Roman" w:hAnsi="Times New Roman" w:cs="Times New Roman" w:eastAsia="SimSun"/>
          <w:b/>
          <w:color w:val="000000"/>
          <w:sz w:val="24"/>
        </w:rPr>
        <w:t>3.2 三种聚类方法的公平比较</w:t>
      </w:r>
    </w:p>
    <w:p>
      <w:pPr>
        <w:keepNext/>
        <w:widowControl/>
        <w:spacing w:line="280" w:lineRule="exact" w:after="100"/>
        <w:ind w:firstLine="0"/>
        <w:jc w:val="center"/>
      </w:pPr>
      <w:r>
        <w:rPr>
          <w:rFonts w:ascii="Times New Roman" w:hAnsi="Times New Roman" w:cs="Times New Roman" w:eastAsia="SimSun"/>
          <w:b w:val="0"/>
          <w:color w:val="000000"/>
          <w:sz w:val="21"/>
        </w:rPr>
        <w:t>表 4 聚类算法与优选理由</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76"/>
        <w:gridCol w:w="4032"/>
        <w:gridCol w:w="3672"/>
      </w:tblGrid>
      <w:tr>
        <w:trPr>
          <w:cantSplit/>
          <w:tblHeader/>
        </w:trPr>
        <w:tc>
          <w:tcPr>
            <w:tcW w:type="dxa" w:w="237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算法</w:t>
            </w:r>
          </w:p>
        </w:tc>
        <w:tc>
          <w:tcPr>
            <w:tcW w:type="dxa" w:w="403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具体输入与初始设置</w:t>
            </w:r>
          </w:p>
        </w:tc>
        <w:tc>
          <w:tcPr>
            <w:tcW w:type="dxa" w:w="367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优点及重点检查</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受限 DTW＋k-medoids</w:t>
              <w:br/>
              <w:t>主候选</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201 点 Δp 序列；Sakoe–Chiba 半径 10 点；K＝2～6；20 次初始化</w:t>
            </w:r>
          </w:p>
        </w:tc>
        <w:tc>
          <w:tcPr>
            <w:tcW w:type="dxa" w:w="36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可容忍小范围时间错位；中心为真实曲线，便于现场核验。检查是否过度对齐早／晚起涨</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Soft-DTW k-means</w:t>
              <w:br/>
              <w:t>时序对照</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同一批序列；统一尺度后 γ＝0.01、0.1、1；同一 K 范围和初始化预算</w:t>
            </w:r>
          </w:p>
        </w:tc>
        <w:tc>
          <w:tcPr>
            <w:tcW w:type="dxa" w:w="36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比较可微 DTW 下的分型；中心可能平滑形态，应同时展示最近的实际样本</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物理特征＋Ward</w:t>
              <w:br/>
              <w:t>解释性基线</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涨幅、起涨指示／时滞、最大斜率、终值、下降幅度、归一化面积等；稳健缩放</w:t>
            </w:r>
          </w:p>
        </w:tc>
        <w:tc>
          <w:tcPr>
            <w:tcW w:type="dxa" w:w="36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检验少量物理指标能否达到相近分型；使用欧氏特征距离，不能对 DTW 矩阵直接套 Ward</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DTW 及受限路径用于控制可容许的时间形变，Soft-DTW 提供另一种波形聚合方式[1–3]。受限 DTW＋k-medoids 是主候选，理由是容许小幅错位、保留幅度并能展示真实代表曲线；最终按比较结果选用。Ward 中未检出的时滞以观测窗长编码，并保留删失指示，避免输入空值或误写为零。</w:t>
      </w:r>
    </w:p>
    <w:p>
      <w:pPr>
        <w:widowControl/>
        <w:spacing w:line="360" w:lineRule="exact" w:after="0"/>
        <w:ind w:firstLine="480"/>
        <w:jc w:val="both"/>
      </w:pPr>
      <w:r>
        <w:rPr>
          <w:rFonts w:ascii="Times New Roman" w:hAnsi="Times New Roman" w:cs="Times New Roman" w:eastAsia="SimSun"/>
          <w:b w:val="0"/>
          <w:color w:val="000000"/>
          <w:sz w:val="24"/>
        </w:rPr>
        <w:t>默认 γ 范围对应以 1 MPa 为共同除数的无量纲序列；若改用全局稳健尺度，该尺度只能在 D0 估计并冻结。Soft-DTW 原始损失可出现负值，若计算其专属轮廓系数，应使用归一化 Soft-DTW 散度，而非原始损失[3]。平方距离、损失值及不同特征空间的指标不能直接混排。</w:t>
      </w:r>
    </w:p>
    <w:p>
      <w:pPr>
        <w:pStyle w:val="Heading2"/>
      </w:pPr>
      <w:r>
        <w:rPr>
          <w:rFonts w:ascii="Times New Roman" w:hAnsi="Times New Roman" w:cs="Times New Roman" w:eastAsia="SimSun"/>
          <w:b/>
          <w:color w:val="000000"/>
          <w:sz w:val="24"/>
        </w:rPr>
        <w:t>3.3 如何确定“最优聚类”</w:t>
      </w:r>
    </w:p>
    <w:p>
      <w:pPr>
        <w:widowControl/>
        <w:spacing w:line="360" w:lineRule="exact" w:after="0"/>
        <w:ind w:firstLine="480"/>
        <w:jc w:val="both"/>
      </w:pPr>
      <w:r>
        <w:rPr>
          <w:rFonts w:ascii="Times New Roman" w:hAnsi="Times New Roman" w:cs="Times New Roman" w:eastAsia="SimSun"/>
          <w:b w:val="0"/>
          <w:color w:val="000000"/>
          <w:sz w:val="24"/>
        </w:rPr>
        <w:t>对所有方案使用同一批合格样本，并预先固定共同的受限 DTW 差异矩阵，计算共同轮廓系数；各算法自身的目标函数作为附加指标。同时检查 100 次按平台／施工段成组抽取约 80% 数据后的 ARI、共聚类概率、各类平台覆盖以及类别内原始响应指标的分布。ARI 在两次抽样共同包含的样本上计算。</w:t>
      </w:r>
    </w:p>
    <w:p>
      <w:pPr>
        <w:widowControl/>
        <w:spacing w:line="360" w:lineRule="exact" w:after="0"/>
        <w:ind w:firstLine="480"/>
        <w:jc w:val="both"/>
      </w:pPr>
      <w:r>
        <w:rPr>
          <w:rFonts w:ascii="Times New Roman" w:hAnsi="Times New Roman" w:cs="Times New Roman" w:eastAsia="SimSun"/>
          <w:b w:val="0"/>
          <w:color w:val="000000"/>
          <w:sz w:val="24"/>
        </w:rPr>
        <w:t>优选顺序为：先排除主要由仪表异常、单一平台来源或极少数不稳定样本组成的方案；再综合共同轮廓系数、重采样稳定性和类别可辨认程度；表现接近时选择较少且稳定的类别。单类少于 20 个事件或仅来自一个物理井对时列为探索性类型，保留其现象但不作成熟风险类型推广；该数量是本研究的初始审查门槛。</w:t>
      </w:r>
    </w:p>
    <w:p>
      <w:pPr>
        <w:widowControl/>
        <w:spacing w:line="360" w:lineRule="exact" w:after="0"/>
        <w:ind w:firstLine="480"/>
        <w:jc w:val="both"/>
      </w:pPr>
      <w:r>
        <w:rPr>
          <w:rFonts w:ascii="Times New Roman" w:hAnsi="Times New Roman" w:cs="Times New Roman" w:eastAsia="SimSun"/>
          <w:b w:val="0"/>
          <w:color w:val="000000"/>
          <w:sz w:val="24"/>
        </w:rPr>
        <w:t>敏感性试验至少包括 DTW 半径 0、5、10、20 点，曲线长度 101／201 点，以及保留幅度与逐条幅度归一化的比较。聚类如果只在大幅时间变形后稳定、原始时滞差别却很大，应收紧时间形变或选择特征基线。不得根据地质变量是否符合预想机理来挑选聚类结果。</w:t>
      </w:r>
    </w:p>
    <w:p>
      <w:pPr>
        <w:widowControl/>
        <w:spacing w:line="360" w:lineRule="exact" w:after="0"/>
        <w:ind w:firstLine="480"/>
        <w:jc w:val="both"/>
      </w:pPr>
      <w:r>
        <w:rPr>
          <w:rFonts w:ascii="Times New Roman" w:hAnsi="Times New Roman" w:cs="Times New Roman" w:eastAsia="SimSun"/>
          <w:b w:val="0"/>
          <w:color w:val="000000"/>
          <w:sz w:val="24"/>
        </w:rPr>
        <w:t>第一步输出：带质量标记的曲线矩阵、物理响应特征表、各算法与 K 的评价表、最终聚类编号 C、实际代表样本和类别边界距离。预期图件包括算法优选图、聚类稳定性图，以及各类压力曲线叠加图。</w:t>
      </w:r>
    </w:p>
    <w:p>
      <w:pPr>
        <w:pStyle w:val="Heading1"/>
      </w:pPr>
      <w:r>
        <w:rPr>
          <w:rFonts w:ascii="Times New Roman" w:hAnsi="Times New Roman" w:cs="Times New Roman" w:eastAsia="SimSun"/>
          <w:b/>
          <w:color w:val="000000"/>
          <w:sz w:val="30"/>
        </w:rPr>
        <w:t>4 第二步：类型命名、风险解释与标签冻结</w:t>
      </w:r>
    </w:p>
    <w:p>
      <w:pPr>
        <w:pStyle w:val="Heading2"/>
      </w:pPr>
      <w:r>
        <w:rPr>
          <w:rFonts w:ascii="Times New Roman" w:hAnsi="Times New Roman" w:cs="Times New Roman" w:eastAsia="SimSun"/>
          <w:b/>
          <w:color w:val="000000"/>
          <w:sz w:val="24"/>
        </w:rPr>
        <w:t>4.1 将曲线类型、风险等级和机制假设分别记录</w:t>
      </w:r>
    </w:p>
    <w:p>
      <w:pPr>
        <w:widowControl/>
        <w:spacing w:line="360" w:lineRule="exact" w:after="0"/>
        <w:ind w:firstLine="480"/>
        <w:jc w:val="both"/>
      </w:pPr>
      <w:r>
        <w:rPr>
          <w:rFonts w:ascii="Times New Roman" w:hAnsi="Times New Roman" w:cs="Times New Roman" w:eastAsia="SimSun"/>
          <w:b w:val="0"/>
          <w:color w:val="000000"/>
          <w:sz w:val="24"/>
        </w:rPr>
        <w:t>聚类编号 C 只是统计分组。根据每类的实际代表曲线及幅度、时滞、速度和持续性，将其命名为风险类型 T；另设压力响应风险等级 R，并记录可能机制 M 与证据等级 E。T 是多分类模型的主标签，R 描述压力响应严重程度，M 和 E 服务于机制讨论。不同类型可以具有相同风险等级。</w:t>
      </w:r>
    </w:p>
    <w:p>
      <w:pPr>
        <w:keepNext/>
        <w:widowControl/>
        <w:spacing w:line="280" w:lineRule="exact" w:after="100"/>
        <w:ind w:firstLine="0"/>
        <w:jc w:val="center"/>
      </w:pPr>
      <w:r>
        <w:rPr>
          <w:rFonts w:ascii="Times New Roman" w:hAnsi="Times New Roman" w:cs="Times New Roman" w:eastAsia="SimSun"/>
          <w:b w:val="0"/>
          <w:color w:val="000000"/>
          <w:sz w:val="21"/>
        </w:rPr>
        <w:t>表 5 参考图形态在本研究中的使用方式</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72"/>
        <w:gridCol w:w="3672"/>
        <w:gridCol w:w="4536"/>
      </w:tblGrid>
      <w:tr>
        <w:trPr>
          <w:cantSplit/>
          <w:tblHeader/>
        </w:trPr>
        <w:tc>
          <w:tcPr>
            <w:tcW w:type="dxa" w:w="187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可参考的形态名称</w:t>
            </w:r>
          </w:p>
        </w:tc>
        <w:tc>
          <w:tcPr>
            <w:tcW w:type="dxa" w:w="367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需要观察的压力证据</w:t>
            </w:r>
          </w:p>
        </w:tc>
        <w:tc>
          <w:tcPr>
            <w:tcW w:type="dxa" w:w="453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需进一步核验的机制与风险含义</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微弱响应型</w:t>
            </w:r>
          </w:p>
        </w:tc>
        <w:tc>
          <w:tcPr>
            <w:tcW w:type="dxa" w:w="36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持续涨幅较小；与基线噪声、仪表分辨率比较</w:t>
            </w:r>
          </w:p>
        </w:tc>
        <w:tc>
          <w:tcPr>
            <w:tcW w:type="dxa" w:w="45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可对应弱压力传递；不能仅因幅度小认定没有裂缝或没有沟通</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快速上升后平台型</w:t>
            </w:r>
          </w:p>
        </w:tc>
        <w:tc>
          <w:tcPr>
            <w:tcW w:type="dxa" w:w="36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短时滞、较大斜率、平台持续时间及停泵恢复</w:t>
            </w:r>
          </w:p>
        </w:tc>
        <w:tc>
          <w:tcPr>
            <w:tcW w:type="dxa" w:w="45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可能与较强连通或快速应力传递相容；直接流体连通需额外证据</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渐进增强型</w:t>
            </w:r>
          </w:p>
        </w:tc>
        <w:tc>
          <w:tcPr>
            <w:tcW w:type="dxa" w:w="36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斜率随施工增强；累积涨幅与后期增速</w:t>
            </w:r>
          </w:p>
        </w:tc>
        <w:tc>
          <w:tcPr>
            <w:tcW w:type="dxa" w:w="45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检验裂缝接近邻井、网络逐步连通等假设；风险取决于实际强度</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持续缓升型</w:t>
            </w:r>
          </w:p>
        </w:tc>
        <w:tc>
          <w:tcPr>
            <w:tcW w:type="dxa" w:w="36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较小但持续的上升斜率；无明显单次跃升</w:t>
            </w:r>
          </w:p>
        </w:tc>
        <w:tc>
          <w:tcPr>
            <w:tcW w:type="dxa" w:w="45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可能涉及孔弹性或压力扩散，也可能为距离与工况综合效应</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先降后升型</w:t>
            </w:r>
          </w:p>
        </w:tc>
        <w:tc>
          <w:tcPr>
            <w:tcW w:type="dxa" w:w="36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下降是否真实；下降和转折时刻是否对应作业变化</w:t>
            </w:r>
          </w:p>
        </w:tc>
        <w:tc>
          <w:tcPr>
            <w:tcW w:type="dxa" w:w="45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先检查操作、压力重分配和孔弹性过程；天然裂缝活化是待验证假设</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表 5 仅提供命名模板。正式标签由实际聚类产生；若一类包含明显不同的强弱响应，应先检查幅度是否被预处理丢失，再在 D0 内决定拆分、合并或标记边界样本。不要为了凑齐参考图的五行而强行建立五类，也不要直接继承图中的排量、用液强度和段长推荐值。</w:t>
      </w:r>
    </w:p>
    <w:p>
      <w:pPr>
        <w:pStyle w:val="Heading2"/>
      </w:pPr>
      <w:r>
        <w:rPr>
          <w:rFonts w:ascii="Times New Roman" w:hAnsi="Times New Roman" w:cs="Times New Roman" w:eastAsia="SimSun"/>
          <w:b/>
          <w:color w:val="000000"/>
          <w:sz w:val="24"/>
        </w:rPr>
        <w:t>4.2 风险等级的可操作定义</w:t>
      </w:r>
    </w:p>
    <w:p>
      <w:pPr>
        <w:widowControl/>
        <w:spacing w:line="360" w:lineRule="exact" w:after="0"/>
        <w:ind w:firstLine="480"/>
        <w:jc w:val="both"/>
      </w:pPr>
      <w:r>
        <w:rPr>
          <w:rFonts w:ascii="Times New Roman" w:hAnsi="Times New Roman" w:cs="Times New Roman" w:eastAsia="SimSun"/>
          <w:b w:val="0"/>
          <w:color w:val="000000"/>
          <w:sz w:val="24"/>
        </w:rPr>
        <w:t>定义 A₆₀ 为主窗口内完整 60 s 滑动窗口的压力涨幅中位数的最大值，用于降低孤立尖峰影响；另记录达到阈值 θ 后的最长连续持续时间 Dθ、首次持续越限时间、最大上升速度和停泵后的残留涨幅。连续超阈时长只在有效连续观测上计算，不跨越长缺口。</w:t>
      </w:r>
    </w:p>
    <w:p>
      <w:pPr>
        <w:widowControl/>
        <w:spacing w:line="360" w:lineRule="exact" w:after="0"/>
        <w:ind w:firstLine="480"/>
        <w:jc w:val="both"/>
      </w:pPr>
      <w:r>
        <w:rPr>
          <w:rFonts w:ascii="Times New Roman" w:hAnsi="Times New Roman" w:cs="Times New Roman" w:eastAsia="SimSun"/>
          <w:b w:val="0"/>
          <w:color w:val="000000"/>
          <w:sz w:val="24"/>
        </w:rPr>
        <w:t>风险分级优先采用现场已确认的邻井异常或处置标准。没有统一标准时，首轮可用 A₆₀＜1 MPa、1≤A₆₀＜5 MPa、A₆₀≥5 MPa 分别定义低、中、高压力响应等级，并用 0.5／1／2 MPa 和 3／5／8 MPa 的阈值组合检验排序稳定性；这些是待验证的研究阈值，不是通用压窜或安全界限。持续时间、速度和恢复性先作为独立维度报告，不临时加权成不透明总分。</w:t>
      </w:r>
    </w:p>
    <w:p>
      <w:pPr>
        <w:widowControl/>
        <w:spacing w:line="360" w:lineRule="exact" w:after="0"/>
        <w:ind w:firstLine="480"/>
        <w:jc w:val="both"/>
      </w:pPr>
      <w:r>
        <w:rPr>
          <w:rFonts w:ascii="Times New Roman" w:hAnsi="Times New Roman" w:cs="Times New Roman" w:eastAsia="SimSun"/>
          <w:b w:val="0"/>
          <w:color w:val="000000"/>
          <w:sz w:val="24"/>
        </w:rPr>
        <w:t>逐类报告 A₆₀、Dθ、时滞的中位数与四分位数，以及低／中／高风险占比。只有当某一 T 内的等级组成相对集中并在开发平台间稳定时，才将其简称为某一等级的“风险类型”；若同一形态的等级混杂，则保留“类型＋等级分布”，不强制一类对应一个等级。此时分类模型仍预测 T，结果注明其对应的经验风险分布。</w:t>
      </w:r>
    </w:p>
    <w:p>
      <w:pPr>
        <w:pStyle w:val="Heading2"/>
      </w:pPr>
      <w:r>
        <w:rPr>
          <w:rFonts w:ascii="Times New Roman" w:hAnsi="Times New Roman" w:cs="Times New Roman" w:eastAsia="SimSun"/>
          <w:b/>
          <w:color w:val="000000"/>
          <w:sz w:val="24"/>
        </w:rPr>
        <w:t>4.3 标签审核、边界样本与新平台赋值</w:t>
      </w:r>
    </w:p>
    <w:p>
      <w:pPr>
        <w:widowControl/>
        <w:spacing w:line="360" w:lineRule="exact" w:after="0"/>
        <w:ind w:firstLine="480"/>
        <w:jc w:val="both"/>
      </w:pPr>
      <w:r>
        <w:rPr>
          <w:rFonts w:ascii="Times New Roman" w:hAnsi="Times New Roman" w:cs="Times New Roman" w:eastAsia="SimSun"/>
          <w:b w:val="0"/>
          <w:color w:val="000000"/>
          <w:sz w:val="24"/>
        </w:rPr>
        <w:t>由两名审核者先在不知道地质特征与最终微地震验证结果的条件下，根据压力曲线审核类型命名、质量和边界样本，记录一致率及分歧处理。冻结标签字典时保存预处理版本、类别原型、C 到 T 的映射、风险阈值、距原型的分布及未知类型规则。</w:t>
      </w:r>
    </w:p>
    <w:p>
      <w:pPr>
        <w:widowControl/>
        <w:spacing w:line="360" w:lineRule="exact" w:after="0"/>
        <w:ind w:firstLine="480"/>
        <w:jc w:val="both"/>
      </w:pPr>
      <w:r>
        <w:rPr>
          <w:rFonts w:ascii="Times New Roman" w:hAnsi="Times New Roman" w:cs="Times New Roman" w:eastAsia="SimSun"/>
          <w:b w:val="0"/>
          <w:color w:val="000000"/>
          <w:sz w:val="24"/>
        </w:rPr>
        <w:t>新平台使用冻结的距离和原型赋值，不把新曲线与测试集重新混合聚类。对 Ward 或 Soft-DTW 方案也定义固定的最近原型赋值方法，并在 D0 内预先检查其与原聚类的一致性。类内距离的 95% 或 99% 分位数可作为候选拒识阈值；距离过大、前两类过近或质量不足时标记“待判定”，不硬塞入最接近的一类。</w:t>
      </w:r>
    </w:p>
    <w:p>
      <w:pPr>
        <w:widowControl/>
        <w:spacing w:line="360" w:lineRule="exact" w:after="0"/>
        <w:ind w:firstLine="480"/>
        <w:jc w:val="both"/>
      </w:pPr>
      <w:r>
        <w:rPr>
          <w:rFonts w:ascii="Times New Roman" w:hAnsi="Times New Roman" w:cs="Times New Roman" w:eastAsia="SimSun"/>
          <w:b w:val="0"/>
          <w:color w:val="000000"/>
          <w:sz w:val="24"/>
        </w:rPr>
        <w:t>第二步输出：类型定义表、样本标签表、风险等级分布表及版本化类型库。主要图表应展示“实际压力曲线—响应特征—风险分布”，并单独列出边界／未知类型比例。压力指标在这里用于定义风险，因此它们在类别间的差异属于描述结果，不能当作独立验证成功的证据。</w:t>
      </w:r>
    </w:p>
    <w:p>
      <w:pPr>
        <w:pStyle w:val="Heading1"/>
      </w:pPr>
      <w:r>
        <w:rPr>
          <w:rFonts w:ascii="Times New Roman" w:hAnsi="Times New Roman" w:cs="Times New Roman" w:eastAsia="SimSun"/>
          <w:b/>
          <w:color w:val="000000"/>
          <w:sz w:val="30"/>
        </w:rPr>
        <w:t>5 第三步：微地震独立验证</w:t>
      </w:r>
    </w:p>
    <w:p>
      <w:pPr>
        <w:pStyle w:val="Heading2"/>
      </w:pPr>
      <w:r>
        <w:rPr>
          <w:rFonts w:ascii="Times New Roman" w:hAnsi="Times New Roman" w:cs="Times New Roman" w:eastAsia="SimSun"/>
          <w:b/>
          <w:color w:val="000000"/>
          <w:sz w:val="24"/>
        </w:rPr>
        <w:t>5.1 验证设计及证据边界</w:t>
      </w:r>
    </w:p>
    <w:p>
      <w:pPr>
        <w:widowControl/>
        <w:spacing w:line="360" w:lineRule="exact" w:after="0"/>
        <w:ind w:firstLine="480"/>
        <w:jc w:val="both"/>
      </w:pPr>
      <w:r>
        <w:rPr>
          <w:rFonts w:ascii="Times New Roman" w:hAnsi="Times New Roman" w:cs="Times New Roman" w:eastAsia="SimSun"/>
          <w:b w:val="0"/>
          <w:color w:val="000000"/>
          <w:sz w:val="24"/>
        </w:rPr>
        <w:t>微地震用于检验压力分型是否具有独立的时空与地质力学支持。四川页岩气现场研究表明，微地震的空间聚集可受既有断层和裂缝控制，同时无震变形会造成事件监测的空白[4]。因此，应将事件云解释为可观测的破裂活动，不能把云团边界直接当作全部水力裂缝边界，也不能以“无事件”直接判定“无沟通”。</w:t>
      </w:r>
    </w:p>
    <w:p>
      <w:pPr>
        <w:widowControl/>
        <w:spacing w:line="360" w:lineRule="exact" w:after="0"/>
        <w:ind w:firstLine="480"/>
        <w:jc w:val="both"/>
      </w:pPr>
      <w:r>
        <w:rPr>
          <w:rFonts w:ascii="Times New Roman" w:hAnsi="Times New Roman" w:cs="Times New Roman" w:eastAsia="SimSun"/>
          <w:b w:val="0"/>
          <w:color w:val="000000"/>
          <w:sz w:val="24"/>
        </w:rPr>
        <w:t>先完成设备时钟、坐标系、标高、深度正方向和定位误差核对，再将事件归属到施工事件。计算事件到邻井水平段轨迹的距离，而非到井口的距离；MD 不能与事件垂深直接相减。验证采用冻结的类型标签。若探索阶段利用了部分微地震帮助修改标签，需另留完全未参与修改的井段或平台作独立验证。</w:t>
      </w:r>
    </w:p>
    <w:p>
      <w:pPr>
        <w:keepNext/>
        <w:widowControl/>
        <w:spacing w:line="280" w:lineRule="exact" w:after="100"/>
        <w:ind w:firstLine="0"/>
        <w:jc w:val="center"/>
      </w:pPr>
      <w:r>
        <w:rPr>
          <w:rFonts w:ascii="Times New Roman" w:hAnsi="Times New Roman" w:cs="Times New Roman" w:eastAsia="SimSun"/>
          <w:b w:val="0"/>
          <w:color w:val="000000"/>
          <w:sz w:val="21"/>
        </w:rPr>
        <w:t>表 6 微地震验证指标及其所支持的判断</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00"/>
        <w:gridCol w:w="4248"/>
        <w:gridCol w:w="4032"/>
      </w:tblGrid>
      <w:tr>
        <w:trPr>
          <w:cantSplit/>
          <w:tblHeader/>
        </w:trPr>
        <w:tc>
          <w:tcPr>
            <w:tcW w:type="dxa" w:w="1800"/>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指标</w:t>
            </w:r>
          </w:p>
        </w:tc>
        <w:tc>
          <w:tcPr>
            <w:tcW w:type="dxa" w:w="424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计算及必要资料</w:t>
            </w:r>
          </w:p>
        </w:tc>
        <w:tc>
          <w:tcPr>
            <w:tcW w:type="dxa" w:w="403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解释与控制因素</w:t>
            </w:r>
          </w:p>
        </w:tc>
      </w:tr>
      <w:tr>
        <w:trPr>
          <w:cantSplit/>
        </w:trPr>
        <w:tc>
          <w:tcPr>
            <w:tcW w:type="dxa" w:w="18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邻井接近度</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每段事件到监测井有效水平段的 3D 距离；报告 d₁₀、d₅₀</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距离越近可支持活动接近邻井；最小距离只作辅助，易受事件数和误差影响</w:t>
            </w:r>
          </w:p>
        </w:tc>
      </w:tr>
      <w:tr>
        <w:trPr>
          <w:cantSplit/>
        </w:trPr>
        <w:tc>
          <w:tcPr>
            <w:tcW w:type="dxa" w:w="18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邻井附近事件比例</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事件距离≤r 的比例；r＝50／100／150 m 作敏感性分析</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r 是观测统计半径；需大于或显式考虑定位误差，不等于连通判据</w:t>
            </w:r>
          </w:p>
        </w:tc>
      </w:tr>
      <w:tr>
        <w:trPr>
          <w:cantSplit/>
        </w:trPr>
        <w:tc>
          <w:tcPr>
            <w:tcW w:type="dxa" w:w="18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定向迁移程度</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以源段中心到最近邻井点为方向轴；分时间窗计算投影的 P₉₀</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检验事件活动是否朝邻井延伸；同时显示投影外的横向离散程度</w:t>
            </w:r>
          </w:p>
        </w:tc>
      </w:tr>
      <w:tr>
        <w:trPr>
          <w:cantSplit/>
        </w:trPr>
        <w:tc>
          <w:tcPr>
            <w:tcW w:type="dxa" w:w="18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时序一致性</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压力起涨、事件接近邻井、停泵及转折时刻的时间差</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报告领先／滞后和时间误差，不通过事后对齐强制同步</w:t>
            </w:r>
          </w:p>
        </w:tc>
      </w:tr>
      <w:tr>
        <w:trPr>
          <w:cantSplit/>
        </w:trPr>
        <w:tc>
          <w:tcPr>
            <w:tcW w:type="dxa" w:w="18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事件活跃度</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同等时窗、监测范围与检出条件下的事件数或事件率</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控制排量、施工时长、监测阵列及震级完整性；不直接跨平台比总数</w:t>
            </w:r>
          </w:p>
        </w:tc>
      </w:tr>
      <w:tr>
        <w:trPr>
          <w:cantSplit/>
        </w:trPr>
        <w:tc>
          <w:tcPr>
            <w:tcW w:type="dxa" w:w="18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可选震源指标</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资料足够时估计 b 值、震源机制或矩张量；附可靠性检查</w:t>
            </w:r>
          </w:p>
        </w:tc>
        <w:tc>
          <w:tcPr>
            <w:tcW w:type="dxa" w:w="403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用于机制补充；仅有事件坐标时不推断张性／剪切破裂比例</w:t>
            </w:r>
          </w:p>
        </w:tc>
      </w:tr>
    </w:tbl>
    <w:p>
      <w:pPr>
        <w:widowControl/>
        <w:spacing w:line="80" w:lineRule="exact" w:after="0"/>
        <w:ind w:firstLine="0"/>
        <w:jc w:val="both"/>
      </w:pPr>
      <w:r>
        <w:rPr>
          <w:rFonts w:ascii="Times New Roman" w:hAnsi="Times New Roman" w:cs="Times New Roman" w:eastAsia="SimSun"/>
          <w:b w:val="0"/>
          <w:color w:val="000000"/>
          <w:sz w:val="10"/>
        </w:rPr>
      </w:r>
    </w:p>
    <w:p>
      <w:pPr>
        <w:pStyle w:val="Heading2"/>
      </w:pPr>
      <w:r>
        <w:rPr>
          <w:rFonts w:ascii="Times New Roman" w:hAnsi="Times New Roman" w:cs="Times New Roman" w:eastAsia="SimSun"/>
          <w:b/>
          <w:color w:val="000000"/>
          <w:sz w:val="24"/>
        </w:rPr>
        <w:t>5.2 三层验证与案例选择</w:t>
      </w:r>
    </w:p>
    <w:p>
      <w:pPr>
        <w:widowControl/>
        <w:spacing w:line="360" w:lineRule="exact" w:after="0"/>
        <w:ind w:firstLine="480"/>
        <w:jc w:val="both"/>
      </w:pPr>
      <w:r>
        <w:rPr>
          <w:rFonts w:ascii="Times New Roman" w:hAnsi="Times New Roman" w:cs="Times New Roman" w:eastAsia="SimSun"/>
          <w:b w:val="0"/>
          <w:color w:val="000000"/>
          <w:sz w:val="24"/>
        </w:rPr>
        <w:t>总体比较：在有可靠监测的样本内，按 T 分组展示接近度、迁移程度和时间差，报告分布、效应量及按平台／施工段重采样的区间。用“高压力响应类更接近邻井、迁移更明显”等作为可检验假设，允许结果不支持；不能把假设写成预期必然结论。</w:t>
      </w:r>
    </w:p>
    <w:p>
      <w:pPr>
        <w:widowControl/>
        <w:spacing w:line="360" w:lineRule="exact" w:after="0"/>
        <w:ind w:firstLine="480"/>
        <w:jc w:val="both"/>
      </w:pPr>
      <w:r>
        <w:rPr>
          <w:rFonts w:ascii="Times New Roman" w:hAnsi="Times New Roman" w:cs="Times New Roman" w:eastAsia="SimSun"/>
          <w:b w:val="0"/>
          <w:color w:val="000000"/>
          <w:sz w:val="24"/>
        </w:rPr>
        <w:t>匹配比较：优先选择同一施工段的不同邻井，或同一物理井对中设计和层位相近的不同段。比较时控制井间距、垂向间距、层位、施工规模和监测条件；多邻井共享同一事件云时仍以施工段为统计组，不把共享事件当成独立重复。必要时作平台分层分析，避免类别差异实际来自平台和监测条件。</w:t>
      </w:r>
    </w:p>
    <w:p>
      <w:pPr>
        <w:widowControl/>
        <w:spacing w:line="360" w:lineRule="exact" w:after="0"/>
        <w:ind w:firstLine="480"/>
        <w:jc w:val="both"/>
      </w:pPr>
      <w:r>
        <w:rPr>
          <w:rFonts w:ascii="Times New Roman" w:hAnsi="Times New Roman" w:cs="Times New Roman" w:eastAsia="SimSun"/>
          <w:b w:val="0"/>
          <w:color w:val="000000"/>
          <w:sz w:val="24"/>
        </w:rPr>
        <w:t>案例验证：每个成熟类型尽量展示来自不同井对的 2～3 个典型案例，再按预先规则纳入至少一个边界或不一致案例。同步绘制施工排量、邻井压力、微地震平面／剖面与事件时间。两口井的光纤解释应变图可作补充交叉证据；只有解释图时讨论应变时空形态，不从图像反演未经标定的裂缝宽度或定量应变。</w:t>
      </w:r>
    </w:p>
    <w:p>
      <w:pPr>
        <w:widowControl/>
        <w:spacing w:line="360" w:lineRule="exact" w:after="0"/>
        <w:ind w:firstLine="480"/>
        <w:jc w:val="both"/>
      </w:pPr>
      <w:r>
        <w:rPr>
          <w:rFonts w:ascii="Times New Roman" w:hAnsi="Times New Roman" w:cs="Times New Roman" w:eastAsia="SimSun"/>
          <w:b w:val="0"/>
          <w:color w:val="000000"/>
          <w:sz w:val="24"/>
        </w:rPr>
        <w:t>证据等级建议记录为 E0：仅压力形态；E1：微地震时空特征与某机制相容；E2：微地震与光纤、示踪或独立井间连通测试中的至少一种形成一致支持。E2 仍应注明具体支持对象，不能把应变或地震一致性自动表述为流体直连或已造成井筒损伤。</w:t>
      </w:r>
    </w:p>
    <w:p>
      <w:pPr>
        <w:widowControl/>
        <w:spacing w:line="360" w:lineRule="exact" w:after="0"/>
        <w:ind w:firstLine="480"/>
        <w:jc w:val="both"/>
      </w:pPr>
      <w:r>
        <w:rPr>
          <w:rFonts w:ascii="Times New Roman" w:hAnsi="Times New Roman" w:cs="Times New Roman" w:eastAsia="SimSun"/>
          <w:b w:val="0"/>
          <w:color w:val="000000"/>
          <w:sz w:val="24"/>
        </w:rPr>
        <w:t>第三步输出：逐样本微地震指标表、按类型的独立指标对照图、同步案例图和机制证据表。该步骤不以训练另一套微地震分类器为必要条件，也不要求没有微地震的平台退出后续分类建模。</w:t>
      </w:r>
    </w:p>
    <w:p>
      <w:pPr>
        <w:pStyle w:val="Heading1"/>
      </w:pPr>
      <w:r>
        <w:rPr>
          <w:rFonts w:ascii="Times New Roman" w:hAnsi="Times New Roman" w:cs="Times New Roman" w:eastAsia="SimSun"/>
          <w:b/>
          <w:color w:val="000000"/>
          <w:sz w:val="30"/>
        </w:rPr>
        <w:t>6 第四步的输入：地质工程与地质力学参数库</w:t>
      </w:r>
    </w:p>
    <w:p>
      <w:pPr>
        <w:pStyle w:val="Heading2"/>
      </w:pPr>
      <w:r>
        <w:rPr>
          <w:rFonts w:ascii="Times New Roman" w:hAnsi="Times New Roman" w:cs="Times New Roman" w:eastAsia="SimSun"/>
          <w:b/>
          <w:color w:val="000000"/>
          <w:sz w:val="24"/>
        </w:rPr>
        <w:t>6.1 输入组织与提取原则</w:t>
      </w:r>
    </w:p>
    <w:p>
      <w:pPr>
        <w:widowControl/>
        <w:spacing w:line="360" w:lineRule="exact" w:after="0"/>
        <w:ind w:firstLine="480"/>
        <w:jc w:val="both"/>
      </w:pPr>
      <w:r>
        <w:rPr>
          <w:rFonts w:ascii="Times New Roman" w:hAnsi="Times New Roman" w:cs="Times New Roman" w:eastAsia="SimSun"/>
          <w:b w:val="0"/>
          <w:color w:val="000000"/>
          <w:sz w:val="24"/>
        </w:rPr>
        <w:t>输入按“源段—邻井”关系提取：源段测井按簇位置或射孔长度汇总；邻井优先取距离源段最近且可能受影响的有效井段；隔层参数沿已确认的地层关系提取。每个变量记录单位、数据来源、空间支持范围、解释时间及缺失标记。不能把小层解释值重复复制到很多采样点后，认为力学信息的独立样本量增加。</w:t>
      </w:r>
    </w:p>
    <w:p>
      <w:pPr>
        <w:widowControl/>
        <w:spacing w:line="360" w:lineRule="exact" w:after="0"/>
        <w:ind w:firstLine="480"/>
        <w:jc w:val="both"/>
      </w:pPr>
      <w:r>
        <w:rPr>
          <w:rFonts w:ascii="Times New Roman" w:hAnsi="Times New Roman" w:cs="Times New Roman" w:eastAsia="SimSun"/>
          <w:b w:val="0"/>
          <w:color w:val="000000"/>
          <w:sz w:val="24"/>
        </w:rPr>
        <w:t>下列 G01～G36 为地质力学候选参数组，其中部分组有上／下隔层或不同主应力等分量。候选库用于规划资料提取，主模型首先选择约 12～18 个有变化、有覆盖且物理含义不同的变量。A 表示现有报告通常可提取但需核对定义；B 表示需要补充资料或标定；C 表示主要用于有条件的机制分析。</w:t>
      </w:r>
    </w:p>
    <w:p>
      <w:pPr>
        <w:keepNext/>
        <w:widowControl/>
        <w:spacing w:line="280" w:lineRule="exact" w:after="100"/>
        <w:ind w:firstLine="0"/>
        <w:jc w:val="center"/>
      </w:pPr>
      <w:r>
        <w:rPr>
          <w:rFonts w:ascii="Times New Roman" w:hAnsi="Times New Roman" w:cs="Times New Roman" w:eastAsia="SimSun"/>
          <w:b w:val="0"/>
          <w:color w:val="000000"/>
          <w:sz w:val="21"/>
        </w:rPr>
        <w:t>表 7 井间几何、地质与工程配套输入</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872"/>
        <w:gridCol w:w="3816"/>
        <w:gridCol w:w="4392"/>
      </w:tblGrid>
      <w:tr>
        <w:trPr>
          <w:cantSplit/>
          <w:tblHeader/>
        </w:trPr>
        <w:tc>
          <w:tcPr>
            <w:tcW w:type="dxa" w:w="187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类别</w:t>
            </w:r>
          </w:p>
        </w:tc>
        <w:tc>
          <w:tcPr>
            <w:tcW w:type="dxa" w:w="381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推荐变量</w:t>
            </w:r>
          </w:p>
        </w:tc>
        <w:tc>
          <w:tcPr>
            <w:tcW w:type="dxa" w:w="439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来源与计算要点</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井间几何</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源段到邻井最短 3D 距离、对应垂向间距；沿／垂直 SHmax 的水平距离</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由统一坐标的射孔簇及轨迹计算；几何量不全部同时纳入，以免重复</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地质背景</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层位、孔隙度、含水饱和度、TOC、目标层真实厚度；可靠时加入渗透率</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与段位置匹配；低覆盖变量进入扩展模型</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分段分簇</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段长、簇间距、簇数、射孔长度、孔密度或限流设计</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使用开工前方案；段长／簇数／簇距之间优先保留独立信息</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计划施工强度</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计划排量；计划液量／段长；计划砂量／段长</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保留设计版本；液量与砂量的单位分别统一为 m³/m 和 t/m</w:t>
            </w:r>
          </w:p>
        </w:tc>
      </w:tr>
      <w:tr>
        <w:trPr>
          <w:cantSplit/>
        </w:trPr>
        <w:tc>
          <w:tcPr>
            <w:tcW w:type="dxa" w:w="187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井网与既有作业状态</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压裂次序、邻井是否曾压裂、距邻井上次作业的时间、已知开关井状态</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仅取该段开工前已知状态；井号和平台号用于分组，不作为主预测变量</w:t>
            </w:r>
          </w:p>
        </w:tc>
      </w:tr>
    </w:tbl>
    <w:p>
      <w:pPr>
        <w:widowControl/>
        <w:spacing w:line="80" w:lineRule="exact" w:after="0"/>
        <w:ind w:firstLine="0"/>
        <w:jc w:val="both"/>
      </w:pPr>
      <w:r>
        <w:rPr>
          <w:rFonts w:ascii="Times New Roman" w:hAnsi="Times New Roman" w:cs="Times New Roman" w:eastAsia="SimSun"/>
          <w:b w:val="0"/>
          <w:color w:val="000000"/>
          <w:sz w:val="10"/>
        </w:rPr>
      </w:r>
    </w:p>
    <w:p>
      <w:pPr>
        <w:pStyle w:val="Heading2"/>
      </w:pPr>
      <w:r>
        <w:rPr>
          <w:rFonts w:ascii="Times New Roman" w:hAnsi="Times New Roman" w:cs="Times New Roman" w:eastAsia="SimSun"/>
          <w:b/>
          <w:color w:val="000000"/>
          <w:sz w:val="24"/>
        </w:rPr>
        <w:t>6.2 基础应力、有效应力与弹性参数</w:t>
      </w:r>
    </w:p>
    <w:p>
      <w:pPr>
        <w:keepNext/>
        <w:widowControl/>
        <w:spacing w:line="280" w:lineRule="exact" w:after="100"/>
        <w:ind w:firstLine="0"/>
        <w:jc w:val="center"/>
      </w:pPr>
      <w:r>
        <w:rPr>
          <w:rFonts w:ascii="Times New Roman" w:hAnsi="Times New Roman" w:cs="Times New Roman" w:eastAsia="SimSun"/>
          <w:b w:val="0"/>
          <w:color w:val="000000"/>
          <w:sz w:val="21"/>
        </w:rPr>
        <w:t>表 8 基础地质力学候选参数</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76"/>
        <w:gridCol w:w="2664"/>
        <w:gridCol w:w="2376"/>
        <w:gridCol w:w="2664"/>
      </w:tblGrid>
      <w:tr>
        <w:trPr>
          <w:cantSplit/>
          <w:tblHeader/>
        </w:trPr>
        <w:tc>
          <w:tcPr>
            <w:tcW w:type="dxa" w:w="237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编号与参数</w:t>
            </w:r>
          </w:p>
        </w:tc>
        <w:tc>
          <w:tcPr>
            <w:tcW w:type="dxa" w:w="2664"/>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定义／单位</w:t>
            </w:r>
          </w:p>
        </w:tc>
        <w:tc>
          <w:tcPr>
            <w:tcW w:type="dxa" w:w="237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来源与优先级</w:t>
            </w:r>
          </w:p>
        </w:tc>
        <w:tc>
          <w:tcPr>
            <w:tcW w:type="dxa" w:w="2664"/>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拟解释的物理问题</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G01 杨氏模量 E</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GPa；注明动态或静态</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测井／岩心标定，A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弹性变形能力及裂缝几何响应</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G02 泊松比 ν</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无量纲；注明解释模型</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测井／岩心，A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横向变形与应力耦合</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G03 最小水平应力 σh</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MPa；核对总应力定义</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测井／DFIT 等，A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张开阻力与延伸环境</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G04 最大水平应力 σH</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MPa；需确认确为水平量</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解释报告，A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水平应力状态及方向性</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G05 垂向应力 σv</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MPa；真实垂深与密度积分</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密度测井／解释，A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应力体制和垂向约束</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G06 水平应力差 ΔσHh</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σH − σh，MPa</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由 G03、G04 计算，A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裂缝方向受约束的程度</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G07 垂向应力差 Δσvh</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σv − σh，MPa</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由 G03、G05 计算，A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垂向与水平应力竞争</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G08 水平应力差系数 AHh</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(σH − σh)/σh</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同上；σh＞0，A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不同应力水平下的相对差异</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G09 应力体制</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σv、σH、σh 的排序类别</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由可靠应力解释确定，A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不同裂缝取向的边界条件</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G10 地层孔隙压力 pp₀</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MPa；该段施工前地层状态</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测试／地质模型，B</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有效应力与压力驱动条件</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G11 Biot 系数 α</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无量纲</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岩心／孔弹性标定，B</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孔隙压力与骨架应力耦合</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G12 有效最小水平应力</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σh′＝σh − αpp₀，MPa</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G03、G10、G11，B</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骨架受力；不替代裂缝面开闭判据</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G13 平面应变模量 E′</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E/(1 − ν²)，GPa</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G01、G02，A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水力裂缝弹性响应的简化参数</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G14 剪切模量 G</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E/[2(1＋ν)]，GPa</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G01、G02，A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剪切变形响应</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G15 体积模量 K</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E/[3(1 − 2ν)]，GPa</w:t>
            </w:r>
          </w:p>
        </w:tc>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G01、G02，A</w:t>
            </w:r>
          </w:p>
        </w:tc>
        <w:tc>
          <w:tcPr>
            <w:tcW w:type="dxa" w:w="266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体积变形与孔弹性响应</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采用压应力为正的约定。G13～G15 的换算依赖各向同性线弹性及一致的排水／动态条件；页岩具有明显各向异性时应改用有资料支持的方向参数。动态 E、ν 未标定时保留为测井代理量，不称为静态真值。E、ν、E′、G、K 存在确定关系，主模型只选择一种主要模量及必要的 ν，不全部投入再分别解释 SHAP。</w:t>
      </w:r>
    </w:p>
    <w:p>
      <w:pPr>
        <w:pStyle w:val="Heading2"/>
      </w:pPr>
      <w:r>
        <w:rPr>
          <w:rFonts w:ascii="Times New Roman" w:hAnsi="Times New Roman" w:cs="Times New Roman" w:eastAsia="SimSun"/>
          <w:b/>
          <w:color w:val="000000"/>
          <w:sz w:val="24"/>
        </w:rPr>
        <w:t>6.3 隔层、非均质性与既有压力状态</w:t>
      </w:r>
    </w:p>
    <w:p>
      <w:pPr>
        <w:keepNext/>
        <w:widowControl/>
        <w:spacing w:line="280" w:lineRule="exact" w:after="100"/>
        <w:ind w:firstLine="0"/>
        <w:jc w:val="center"/>
      </w:pPr>
      <w:r>
        <w:rPr>
          <w:rFonts w:ascii="Times New Roman" w:hAnsi="Times New Roman" w:cs="Times New Roman" w:eastAsia="SimSun"/>
          <w:b w:val="0"/>
          <w:color w:val="000000"/>
          <w:sz w:val="21"/>
        </w:rPr>
        <w:t>表 9 层间约束及段内差异参数</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04"/>
        <w:gridCol w:w="3528"/>
        <w:gridCol w:w="4248"/>
      </w:tblGrid>
      <w:tr>
        <w:trPr>
          <w:cantSplit/>
          <w:tblHeader/>
        </w:trPr>
        <w:tc>
          <w:tcPr>
            <w:tcW w:type="dxa" w:w="2304"/>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编号与参数</w:t>
            </w:r>
          </w:p>
        </w:tc>
        <w:tc>
          <w:tcPr>
            <w:tcW w:type="dxa" w:w="352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计算方法</w:t>
            </w:r>
          </w:p>
        </w:tc>
        <w:tc>
          <w:tcPr>
            <w:tcW w:type="dxa" w:w="424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资料条件与物理含义</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G16 上隔层应力差</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σh,上隔层 − σh,目标层，MPa</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A/B；需真正的上下层匹配。检验向上跨层延伸约束</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G17 下隔层应力差</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σh,下隔层 − σh,目标层，MPa</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A/B；保留符号，不能取绝对值。检验向下延伸约束</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G18 上隔层厚度</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地层模型／真厚度或明确的 TVD 厚度，m</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B；不可直接用水平井 MD 层段长度替代</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G19 下隔层厚度</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同上，m</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B；与应力差及邻井垂向间距联合分析</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G20 段内应力离散度</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各簇或射孔区 σh 的四分位距，MPa</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A；只有一个均一层值时无法提供真实段内变化</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G21 弹性非均质系数</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 的标准差／均值</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A；注明采样支持尺度与权重，检验段内差异</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G22 层间弹性差异</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E′隔层/E′目标层，分别取上、下侧</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A/B；反映刚度不匹配，不直接当作穿层判据</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G23 应力方位变化</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段内 SHmax 方位的轴向圆统计离散度</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B；需连续或多个可靠方位解释点</w:t>
            </w:r>
          </w:p>
        </w:tc>
      </w:tr>
      <w:tr>
        <w:trPr>
          <w:cantSplit/>
        </w:trPr>
        <w:tc>
          <w:tcPr>
            <w:tcW w:type="dxa" w:w="230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G24 压力亏空</w:t>
            </w:r>
          </w:p>
        </w:tc>
        <w:tc>
          <w:tcPr>
            <w:tcW w:type="dxa" w:w="35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初始 pp − 施工前 pp，MPa</w:t>
            </w:r>
          </w:p>
        </w:tc>
        <w:tc>
          <w:tcPr>
            <w:tcW w:type="dxa" w:w="424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B；表征邻井耗竭背景。井口压力不能直接替代地层压力</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测井或小层参数汇总以簇位置或射孔长度为权重，报告中位数、上下分位数或必要的离散度。沿 MD 的应力变化率只能称为“沿井筒变化率”，不能称为三维应力梯度。破裂压力若与最大主应力逐行相同，应追溯解释公式和字段定义，不默认它是独立测得的起裂压力。</w:t>
      </w:r>
    </w:p>
    <w:p>
      <w:pPr>
        <w:pStyle w:val="Heading2"/>
      </w:pPr>
      <w:r>
        <w:rPr>
          <w:rFonts w:ascii="Times New Roman" w:hAnsi="Times New Roman" w:cs="Times New Roman" w:eastAsia="SimSun"/>
          <w:b/>
          <w:color w:val="000000"/>
          <w:sz w:val="24"/>
        </w:rPr>
        <w:t>6.4 方位、天然裂缝及活化潜势</w:t>
      </w:r>
    </w:p>
    <w:p>
      <w:pPr>
        <w:keepNext/>
        <w:widowControl/>
        <w:spacing w:line="280" w:lineRule="exact" w:after="100"/>
        <w:ind w:firstLine="0"/>
        <w:jc w:val="center"/>
      </w:pPr>
      <w:r>
        <w:rPr>
          <w:rFonts w:ascii="Times New Roman" w:hAnsi="Times New Roman" w:cs="Times New Roman" w:eastAsia="SimSun"/>
          <w:b w:val="0"/>
          <w:color w:val="000000"/>
          <w:sz w:val="21"/>
        </w:rPr>
        <w:t>表 10 方位与裂缝力学候选参数</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76"/>
        <w:gridCol w:w="3816"/>
        <w:gridCol w:w="3888"/>
      </w:tblGrid>
      <w:tr>
        <w:trPr>
          <w:cantSplit/>
          <w:tblHeader/>
        </w:trPr>
        <w:tc>
          <w:tcPr>
            <w:tcW w:type="dxa" w:w="237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编号与参数</w:t>
            </w:r>
          </w:p>
        </w:tc>
        <w:tc>
          <w:tcPr>
            <w:tcW w:type="dxa" w:w="381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计算／来源</w:t>
            </w:r>
          </w:p>
        </w:tc>
        <w:tc>
          <w:tcPr>
            <w:tcW w:type="dxa" w:w="388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适用条件及用途</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G25 井间方向—SHmax 夹角</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源段指向邻井的水平连线与 SHmax 的锐夹角</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B；可用 cos(2θ) 表示轴向夹角，检验方向性接近</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G26 井筒—SHmax 夹角</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源段井筒方位与 SHmax 的夹角</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A/B；与簇布置及裂缝方向共同分析</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G27 天然裂缝产状关系</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走向／倾角；与应力轴及井间方向的关系</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B；需成像测井或可靠构造解释，单张属性图不能补出倾角</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G28 裂缝面正应力 σn</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nᵀΣn，MPa</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C；需三维总应力张量 Σ 与裂缝单位法向 n</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G29 裂缝面剪应力 τ</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‖Σn − σn n‖，MPa</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C；与 G28 配套，描述特定裂缝面的受力</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G30 滑移倾向 Ts</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τ/(σn − pf₀)</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C；仅当分母＞0；需裂缝面压力，不能凭经验补常数</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G31 剪切稳定裕度 Ms</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c＋μ(σn − pf₀) − τ，MPa</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C；需摩擦系数 μ 与黏聚力 c；越小表示越接近所设滑移条件</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G32 临界增压 Δpslip</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σn − (τ − c)/μ − pf₀，MPa</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C；固定总应力的简化筛查量，负值需核对初始稳定性</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G33 张开裕度 Mo</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σn＋T₀ − pf₀，MPa</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C；需抗拉强度 T₀；针对给定平面，不是井筒破裂压力公式</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G34 断裂韧度 KIC</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MPa·√m；注明层理方向</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B/C；岩心或有依据的解释，检验扩展阻力</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G35 天然裂缝／断层邻近性</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最近构造距离、相对方位、穿越与否</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B；有坐标和解释可信度后计算</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G36 地震裂缝代理属性</w:t>
            </w:r>
          </w:p>
        </w:tc>
        <w:tc>
          <w:tcPr>
            <w:tcW w:type="dxa" w:w="381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曲率／MCANT 等的段周统计及异常占比</w:t>
            </w:r>
          </w:p>
        </w:tc>
        <w:tc>
          <w:tcPr>
            <w:tcW w:type="dxa" w:w="38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B；同处理尺度内提取，代表属性异常而非直接裂缝密度</w:t>
            </w:r>
          </w:p>
        </w:tc>
      </w:tr>
    </w:tbl>
    <w:p>
      <w:pPr>
        <w:widowControl/>
        <w:spacing w:line="80" w:lineRule="exact" w:after="0"/>
        <w:ind w:firstLine="0"/>
        <w:jc w:val="both"/>
      </w:pPr>
      <w:r>
        <w:rPr>
          <w:rFonts w:ascii="Times New Roman" w:hAnsi="Times New Roman" w:cs="Times New Roman" w:eastAsia="SimSun"/>
          <w:b w:val="0"/>
          <w:color w:val="000000"/>
          <w:sz w:val="10"/>
        </w:rPr>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144"/>
        <w:gridCol w:w="936"/>
      </w:tblGrid>
      <w:tr>
        <w:tc>
          <w:tcPr>
            <w:tcW w:type="dxa" w:w="9144"/>
          </w:tcPr>
          <w:p>
            <w:pPr>
              <w:spacing w:line="540" w:lineRule="exact"/>
              <w:ind w:firstLine="0"/>
              <w:jc w:val="center"/>
            </w:pPr>
            <m:oMath>
              <m:sSub>
                <m:e>
                  <m:r>
                    <m:rPr>
                      <m:sty m:val="p"/>
                    </m:rPr>
                    <m:t>σ</m:t>
                  </m:r>
                </m:e>
                <m:sub>
                  <m:r>
                    <m:rPr>
                      <m:sty m:val="p"/>
                    </m:rPr>
                    <m:t>n</m:t>
                  </m:r>
                </m:sub>
              </m:sSub>
              <m:r>
                <m:rPr>
                  <m:sty m:val="p"/>
                </m:rPr>
                <m:t> = nᵀΣn,    τ = ‖Σn − </m:t>
              </m:r>
              <m:sSub>
                <m:e>
                  <m:r>
                    <m:rPr>
                      <m:sty m:val="p"/>
                    </m:rPr>
                    <m:t>σ</m:t>
                  </m:r>
                </m:e>
                <m:sub>
                  <m:r>
                    <m:rPr>
                      <m:sty m:val="p"/>
                    </m:rPr>
                    <m:t>n</m:t>
                  </m:r>
                </m:sub>
              </m:sSub>
              <m:r>
                <m:rPr>
                  <m:sty m:val="p"/>
                </m:rPr>
                <m:t>n‖</m:t>
              </m:r>
            </m:oMath>
          </w:p>
        </w:tc>
        <w:tc>
          <w:tcPr>
            <w:tcW w:type="dxa" w:w="936"/>
          </w:tcPr>
          <w:p>
            <w:pPr>
              <w:spacing w:line="540" w:lineRule="exact"/>
              <w:ind w:firstLine="0"/>
              <w:jc w:val="center"/>
            </w:pPr>
            <w:r>
              <w:rPr>
                <w:rFonts w:ascii="Times New Roman" w:hAnsi="Times New Roman" w:cs="Times New Roman" w:eastAsia="SimSun"/>
                <w:b w:val="0"/>
                <w:color w:val="000000"/>
                <w:sz w:val="24"/>
              </w:rPr>
              <w:t>(3)</w:t>
            </w:r>
          </w:p>
        </w:tc>
      </w:tr>
    </w:tbl>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144"/>
        <w:gridCol w:w="936"/>
      </w:tblGrid>
      <w:tr>
        <w:tc>
          <w:tcPr>
            <w:tcW w:type="dxa" w:w="9144"/>
          </w:tcPr>
          <w:p>
            <w:pPr>
              <w:spacing w:line="540" w:lineRule="exact"/>
              <w:ind w:firstLine="0"/>
              <w:jc w:val="center"/>
            </w:pPr>
            <m:oMath>
              <m:sSub>
                <m:e>
                  <m:r>
                    <m:rPr>
                      <m:sty m:val="p"/>
                    </m:rPr>
                    <m:t>M</m:t>
                  </m:r>
                </m:e>
                <m:sub>
                  <m:r>
                    <m:rPr>
                      <m:sty m:val="p"/>
                    </m:rPr>
                    <m:t>s</m:t>
                  </m:r>
                </m:sub>
              </m:sSub>
              <m:r>
                <m:rPr>
                  <m:sty m:val="p"/>
                </m:rPr>
                <m:t> = c + μ(</m:t>
              </m:r>
              <m:sSub>
                <m:e>
                  <m:r>
                    <m:rPr>
                      <m:sty m:val="p"/>
                    </m:rPr>
                    <m:t>σ</m:t>
                  </m:r>
                </m:e>
                <m:sub>
                  <m:r>
                    <m:rPr>
                      <m:sty m:val="p"/>
                    </m:rPr>
                    <m:t>n</m:t>
                  </m:r>
                </m:sub>
              </m:sSub>
              <m:r>
                <m:rPr>
                  <m:sty m:val="p"/>
                </m:rPr>
                <m:t> − </m:t>
              </m:r>
              <m:sSub>
                <m:e>
                  <m:r>
                    <m:rPr>
                      <m:sty m:val="p"/>
                    </m:rPr>
                    <m:t>p</m:t>
                  </m:r>
                </m:e>
                <m:sub>
                  <m:r>
                    <m:rPr>
                      <m:sty m:val="p"/>
                    </m:rPr>
                    <m:t>f0</m:t>
                  </m:r>
                </m:sub>
              </m:sSub>
              <m:r>
                <m:rPr>
                  <m:sty m:val="p"/>
                </m:rPr>
                <m:t>) − τ</m:t>
              </m:r>
            </m:oMath>
          </w:p>
        </w:tc>
        <w:tc>
          <w:tcPr>
            <w:tcW w:type="dxa" w:w="936"/>
          </w:tcPr>
          <w:p>
            <w:pPr>
              <w:spacing w:line="540" w:lineRule="exact"/>
              <w:ind w:firstLine="0"/>
              <w:jc w:val="center"/>
            </w:pPr>
            <w:r>
              <w:rPr>
                <w:rFonts w:ascii="Times New Roman" w:hAnsi="Times New Roman" w:cs="Times New Roman" w:eastAsia="SimSun"/>
                <w:b w:val="0"/>
                <w:color w:val="000000"/>
                <w:sz w:val="24"/>
              </w:rPr>
              <w:t>(4)</w:t>
            </w:r>
          </w:p>
        </w:tc>
      </w:tr>
    </w:tbl>
    <w:p>
      <w:pPr>
        <w:widowControl/>
        <w:spacing w:line="360" w:lineRule="exact" w:after="0"/>
        <w:ind w:firstLine="480"/>
        <w:jc w:val="both"/>
      </w:pPr>
      <w:r>
        <w:rPr>
          <w:rFonts w:ascii="Times New Roman" w:hAnsi="Times New Roman" w:cs="Times New Roman" w:eastAsia="SimSun"/>
          <w:b w:val="0"/>
          <w:color w:val="000000"/>
          <w:sz w:val="24"/>
        </w:rPr>
        <w:t>G30～G33 使用裂缝面上的流体压力 pf₀；只有存在合理的压力平衡假设时才令其等于地层孔隙压力 pp₀。这里的裂缝面有效正应力通常写作 σn−pf₀，与骨架有效应力中的 Biot 系数约定区分。临界增压是固定总应力、给定平面及摩擦参数下的推导，不包含压裂造成的动态应力转移，应作为活化潜势指标而非真实临界施工压力。</w:t>
      </w:r>
    </w:p>
    <w:p>
      <w:pPr>
        <w:widowControl/>
        <w:spacing w:line="360" w:lineRule="exact" w:after="0"/>
        <w:ind w:firstLine="480"/>
        <w:jc w:val="both"/>
      </w:pPr>
      <w:r>
        <w:rPr>
          <w:rFonts w:ascii="Times New Roman" w:hAnsi="Times New Roman" w:cs="Times New Roman" w:eastAsia="SimSun"/>
          <w:b w:val="0"/>
          <w:color w:val="000000"/>
          <w:sz w:val="24"/>
        </w:rPr>
        <w:t>对应的物理分析以应力约束、弹性变形、流体驱动及断裂扩展的共同作用为基础[5]。有可靠三维应力与既有裂缝几何后，可进一步模拟上一段施工的应力扰动；资料不足时不以段间距经验函数冒充“应力阴影强度”。</w:t>
      </w:r>
    </w:p>
    <w:p>
      <w:pPr>
        <w:widowControl/>
        <w:spacing w:line="360" w:lineRule="exact" w:after="0"/>
        <w:ind w:firstLine="480"/>
        <w:jc w:val="both"/>
      </w:pPr>
      <w:r>
        <w:rPr>
          <w:rFonts w:ascii="Times New Roman" w:hAnsi="Times New Roman" w:cs="Times New Roman" w:eastAsia="SimSun"/>
          <w:b w:val="0"/>
          <w:color w:val="000000"/>
          <w:sz w:val="24"/>
        </w:rPr>
        <w:t>SGY 属性提取需确认时间域／深度域、坐标和层位配准；时间域地震不能直接与米制井深混用。曲率和 MCANT 的正负、单位、无效值与算法含义应从处理方确认，尤其不能默认 MCANT＝−1 表示无天然裂缝。按事先规定的段周邻域提取中位值、P₉₀、离散度和异常占比，并检查 25／50／100 m 邻域的敏感性。跨平台处理尺度不同的属性先进行兼容性评估。</w:t>
      </w:r>
    </w:p>
    <w:p>
      <w:pPr>
        <w:pStyle w:val="Heading2"/>
      </w:pPr>
      <w:r>
        <w:rPr>
          <w:rFonts w:ascii="Times New Roman" w:hAnsi="Times New Roman" w:cs="Times New Roman" w:eastAsia="SimSun"/>
          <w:b/>
          <w:color w:val="000000"/>
          <w:sz w:val="24"/>
        </w:rPr>
        <w:t>6.5 主模型如何从候选库中选变量</w:t>
      </w:r>
    </w:p>
    <w:p>
      <w:pPr>
        <w:widowControl/>
        <w:spacing w:line="360" w:lineRule="exact" w:after="0"/>
        <w:ind w:firstLine="480"/>
        <w:jc w:val="both"/>
      </w:pPr>
      <w:r>
        <w:rPr>
          <w:rFonts w:ascii="Times New Roman" w:hAnsi="Times New Roman" w:cs="Times New Roman" w:eastAsia="SimSun"/>
          <w:b w:val="0"/>
          <w:color w:val="000000"/>
          <w:sz w:val="24"/>
        </w:rPr>
        <w:t>建议第一轮核心输入优先考虑：三维井间距、垂向间距、井间方向与 SHmax 夹角、层位、E′、ν、σh、ΔσHh、上／下隔层应力差、段内应力离散度、段长、簇间距、计划排量、计划用液强度、计划加砂强度及开工前邻井作业状态。缺少方位或真实隔层解释时保留基础模型，待补齐后另作扩展比较。</w:t>
      </w:r>
    </w:p>
    <w:p>
      <w:pPr>
        <w:widowControl/>
        <w:spacing w:line="360" w:lineRule="exact" w:after="0"/>
        <w:ind w:firstLine="480"/>
        <w:jc w:val="both"/>
      </w:pPr>
      <w:r>
        <w:rPr>
          <w:rFonts w:ascii="Times New Roman" w:hAnsi="Times New Roman" w:cs="Times New Roman" w:eastAsia="SimSun"/>
          <w:b w:val="0"/>
          <w:color w:val="000000"/>
          <w:sz w:val="24"/>
        </w:rPr>
        <w:t>先按资料定义和缺失率筛选，再在训练折内检查近零方差、相关性和重复来源。原始应力及其应力差只保留支撑目标问题的组合；缺失率超过约 30% 的变量先进入扩展模型。几乎恒定的参数不应为了增加“地质力学数量”保留。缺失可在训练折内插补并增加缺失指示，但整个平台没有来源的参数不能依靠插补声称已经测得。</w:t>
      </w:r>
    </w:p>
    <w:p>
      <w:pPr>
        <w:widowControl/>
        <w:spacing w:line="360" w:lineRule="exact" w:after="0"/>
        <w:ind w:firstLine="480"/>
        <w:jc w:val="both"/>
      </w:pPr>
      <w:r>
        <w:rPr>
          <w:rFonts w:ascii="Times New Roman" w:hAnsi="Times New Roman" w:cs="Times New Roman" w:eastAsia="SimSun"/>
          <w:b w:val="0"/>
          <w:color w:val="000000"/>
          <w:sz w:val="24"/>
        </w:rPr>
        <w:t>特征组消融按同一批样本比较：工程＋几何基线；加入基础应力与弹性；再加入隔层与非均质性；最后加入裂缝／地震代理量。每次加入高成本资料既报告共同样本上的性能增量，也报告覆盖率下降。用不同样本群得到的性能差，不能单独归因于新参数更有效。</w:t>
      </w:r>
    </w:p>
    <w:p>
      <w:pPr>
        <w:pStyle w:val="Heading1"/>
      </w:pPr>
      <w:r>
        <w:rPr>
          <w:rFonts w:ascii="Times New Roman" w:hAnsi="Times New Roman" w:cs="Times New Roman" w:eastAsia="SimSun"/>
          <w:b/>
          <w:color w:val="000000"/>
          <w:sz w:val="30"/>
        </w:rPr>
        <w:t>7 第四步：地质工程参数预测压窜风险类型</w:t>
      </w:r>
    </w:p>
    <w:p>
      <w:pPr>
        <w:pStyle w:val="Heading2"/>
      </w:pPr>
      <w:r>
        <w:rPr>
          <w:rFonts w:ascii="Times New Roman" w:hAnsi="Times New Roman" w:cs="Times New Roman" w:eastAsia="SimSun"/>
          <w:b/>
          <w:color w:val="000000"/>
          <w:sz w:val="24"/>
        </w:rPr>
        <w:t>7.1 分类目标与算法优选</w:t>
      </w:r>
    </w:p>
    <w:p>
      <w:pPr>
        <w:widowControl/>
        <w:spacing w:line="360" w:lineRule="exact" w:after="0"/>
        <w:ind w:firstLine="480"/>
        <w:jc w:val="both"/>
      </w:pPr>
      <w:r>
        <w:rPr>
          <w:rFonts w:ascii="Times New Roman" w:hAnsi="Times New Roman" w:cs="Times New Roman" w:eastAsia="SimSun"/>
          <w:b w:val="0"/>
          <w:color w:val="000000"/>
          <w:sz w:val="24"/>
        </w:rPr>
        <w:t>模型输入为 X＝施工前地质、力学、几何和设计特征，输出为各风险类型概率 P(T＝k|X) 及预测类型。类型是名义类别，不能将类别编号 1、2、3 直接作为连续因变量训练回归。分类标签来自已冻结的压力类型库；模型用途是施工前预测随后可能出现的响应类型。</w:t>
      </w:r>
    </w:p>
    <w:p>
      <w:pPr>
        <w:keepNext/>
        <w:widowControl/>
        <w:spacing w:line="280" w:lineRule="exact" w:after="100"/>
        <w:ind w:firstLine="0"/>
        <w:jc w:val="center"/>
      </w:pPr>
      <w:r>
        <w:rPr>
          <w:rFonts w:ascii="Times New Roman" w:hAnsi="Times New Roman" w:cs="Times New Roman" w:eastAsia="SimSun"/>
          <w:b w:val="0"/>
          <w:color w:val="000000"/>
          <w:sz w:val="21"/>
        </w:rPr>
        <w:t>表 11 多分类候选模型与首轮参数范围</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088"/>
        <w:gridCol w:w="4392"/>
        <w:gridCol w:w="3600"/>
      </w:tblGrid>
      <w:tr>
        <w:trPr>
          <w:cantSplit/>
          <w:tblHeader/>
        </w:trPr>
        <w:tc>
          <w:tcPr>
            <w:tcW w:type="dxa" w:w="208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模型</w:t>
            </w:r>
          </w:p>
        </w:tc>
        <w:tc>
          <w:tcPr>
            <w:tcW w:type="dxa" w:w="439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首轮设置</w:t>
            </w:r>
          </w:p>
        </w:tc>
        <w:tc>
          <w:tcPr>
            <w:tcW w:type="dxa" w:w="3600"/>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保留理由</w:t>
            </w:r>
          </w:p>
        </w:tc>
      </w:tr>
      <w:tr>
        <w:trPr>
          <w:cantSplit/>
        </w:trPr>
        <w:tc>
          <w:tcPr>
            <w:tcW w:type="dxa" w:w="20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XGBoost</w:t>
              <w:br/>
              <w:t>主候选</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multi:softprob；树深 2～5；学习率 0.03～0.1；行／列采样 0.7～1.0；训练内早停</w:t>
            </w:r>
          </w:p>
        </w:tc>
        <w:tc>
          <w:tcPr>
            <w:tcW w:type="dxa" w:w="36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适合混合地质工程表格数据，可表达非线性与交互；提供树模型解释[6]</w:t>
            </w:r>
          </w:p>
        </w:tc>
      </w:tr>
      <w:tr>
        <w:trPr>
          <w:cantSplit/>
        </w:trPr>
        <w:tc>
          <w:tcPr>
            <w:tcW w:type="dxa" w:w="20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随机森林</w:t>
              <w:br/>
              <w:t>集成对照</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约 500 棵树；叶节点最小样本数 3／5／10；比较类别权重方案</w:t>
            </w:r>
          </w:p>
        </w:tc>
        <w:tc>
          <w:tcPr>
            <w:tcW w:type="dxa" w:w="36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对照另一种树集成机制，检查结论是否依赖提升方法</w:t>
            </w:r>
          </w:p>
        </w:tc>
      </w:tr>
      <w:tr>
        <w:trPr>
          <w:cantSplit/>
        </w:trPr>
        <w:tc>
          <w:tcPr>
            <w:tcW w:type="dxa" w:w="208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多项逻辑回归</w:t>
              <w:br/>
              <w:t>简单基线</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训练折内标准化；L2 正则；C＝0.1／1／10；必要的类别权重</w:t>
            </w:r>
          </w:p>
        </w:tc>
        <w:tc>
          <w:tcPr>
            <w:tcW w:type="dxa" w:w="360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给出线性可解释基准，判断复杂模型增加了多少预测能力</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所有模型使用相同的输入集合、训练／验证分组和评价指标；给出相近的调参预算，例如每种方法不超过 30 组参数组合。XGBoost 是否最终优胜由跨平台结果决定。如果逻辑回归达到相近效果，应优先考虑其简单性，而不是为了 SHAP 图件指定复杂模型获胜。</w:t>
      </w:r>
    </w:p>
    <w:p>
      <w:pPr>
        <w:widowControl/>
        <w:spacing w:line="360" w:lineRule="exact" w:after="0"/>
        <w:ind w:firstLine="480"/>
        <w:jc w:val="both"/>
      </w:pPr>
      <w:r>
        <w:rPr>
          <w:rFonts w:ascii="Times New Roman" w:hAnsi="Times New Roman" w:cs="Times New Roman" w:eastAsia="SimSun"/>
          <w:b w:val="0"/>
          <w:color w:val="000000"/>
          <w:sz w:val="24"/>
        </w:rPr>
        <w:t>不纳入输入的字段包括：本段邻井涨幅、时滞、波形特征、聚类距离、本段微地震或光纤响应、事后压窜处置记录，以及受异常响应影响而改变的实际总液量／总砂量。这些量已含有标签信息或干预后结果。实际施工数据用于切分与解释；如果后续研究改为施工中预测，应另行定义截止时刻。</w:t>
      </w:r>
    </w:p>
    <w:p>
      <w:pPr>
        <w:pStyle w:val="Heading2"/>
      </w:pPr>
      <w:r>
        <w:rPr>
          <w:rFonts w:ascii="Times New Roman" w:hAnsi="Times New Roman" w:cs="Times New Roman" w:eastAsia="SimSun"/>
          <w:b/>
          <w:color w:val="000000"/>
          <w:sz w:val="24"/>
        </w:rPr>
        <w:t>7.2 分组验证、类别不平衡与概率质量</w:t>
      </w:r>
    </w:p>
    <w:p>
      <w:pPr>
        <w:widowControl/>
        <w:spacing w:line="360" w:lineRule="exact" w:after="0"/>
        <w:ind w:firstLine="480"/>
        <w:jc w:val="both"/>
      </w:pPr>
      <w:r>
        <w:rPr>
          <w:rFonts w:ascii="Times New Roman" w:hAnsi="Times New Roman" w:cs="Times New Roman" w:eastAsia="SimSun"/>
          <w:b w:val="0"/>
          <w:color w:val="000000"/>
          <w:sz w:val="24"/>
        </w:rPr>
        <w:t>开发集 D1 内采用按平台的分组交叉验证或留一平台验证；平台不足时按物理井对组做补充检查，但明确它检验的是同平台迁移。所有插补、缩放、特征筛选、参数优选和概率校准在训练折内完成，早停只使用训练折划出的验证组[7]。同井对、同段或复施工 episode 不跨训练与验证。</w:t>
      </w:r>
    </w:p>
    <w:p>
      <w:pPr>
        <w:widowControl/>
        <w:spacing w:line="360" w:lineRule="exact" w:after="0"/>
        <w:ind w:firstLine="480"/>
        <w:jc w:val="both"/>
      </w:pPr>
      <w:r>
        <w:rPr>
          <w:rFonts w:ascii="Times New Roman" w:hAnsi="Times New Roman" w:cs="Times New Roman" w:eastAsia="SimSun"/>
          <w:b w:val="0"/>
          <w:color w:val="000000"/>
          <w:sz w:val="24"/>
        </w:rPr>
        <w:t>类别不平衡首先比较无权重和训练折内计算的类别权重；不从测试集计算权重。稀有类型先检查跨井对、跨平台支持，不能仅靠过采样获得“稳定性”。不对全数据先做 SMOTE 再划分。每折训练都应有相应类别；只在一个平台出现的类型单列为暂不具备跨平台学习条件的探索性类型。</w:t>
      </w:r>
    </w:p>
    <w:p>
      <w:pPr>
        <w:widowControl/>
        <w:spacing w:line="360" w:lineRule="exact" w:after="0"/>
        <w:ind w:firstLine="480"/>
        <w:jc w:val="both"/>
      </w:pPr>
      <w:r>
        <w:rPr>
          <w:rFonts w:ascii="Times New Roman" w:hAnsi="Times New Roman" w:cs="Times New Roman" w:eastAsia="SimSun"/>
          <w:b w:val="0"/>
          <w:color w:val="000000"/>
          <w:sz w:val="24"/>
        </w:rPr>
        <w:t>主评价指标为宏平均 F1，并报告平衡准确率、各类精确率／召回率、计数及归一化混淆矩阵。风险语义稳定的高风险类型额外报告召回率和误报情况。概率输出用多分类 log loss、Brier 分数及可靠性图检查；有足够独立验证组时再作温度缩放等校准，并在相同概率版本上报告指标。</w:t>
      </w:r>
    </w:p>
    <w:p>
      <w:pPr>
        <w:widowControl/>
        <w:spacing w:line="360" w:lineRule="exact" w:after="0"/>
        <w:ind w:firstLine="480"/>
        <w:jc w:val="both"/>
      </w:pPr>
      <w:r>
        <w:rPr>
          <w:rFonts w:ascii="Times New Roman" w:hAnsi="Times New Roman" w:cs="Times New Roman" w:eastAsia="SimSun"/>
          <w:b w:val="0"/>
          <w:color w:val="000000"/>
          <w:sz w:val="24"/>
        </w:rPr>
        <w:t>最终测试 D2 同时报告逐平台结果和总体结果，区间按平台成组重采样；平台太少时主要报告逐平台范围，避免给出虚假的精确区间。记录标签可赋值比例、未知类型比例和模型低置信输出比例。已知类型上的 F1 必须与覆盖率同时呈现，不能删除难例后只报告较高准确率。</w:t>
      </w:r>
    </w:p>
    <w:p>
      <w:pPr>
        <w:widowControl/>
        <w:spacing w:line="360" w:lineRule="exact" w:after="0"/>
        <w:ind w:firstLine="480"/>
        <w:jc w:val="both"/>
      </w:pPr>
      <w:r>
        <w:rPr>
          <w:rFonts w:ascii="Times New Roman" w:hAnsi="Times New Roman" w:cs="Times New Roman" w:eastAsia="SimSun"/>
          <w:b w:val="0"/>
          <w:color w:val="000000"/>
          <w:sz w:val="24"/>
        </w:rPr>
        <w:t>标签拒识与模型拒识分开记录：前者是在施工后检查真实压力曲线是否属于类型库；后者是在施工前，根据模型概率与输入分布判断是否需要人工复核。模型拒识阈值在开发数据内确定，最终测试同时展示不拒识及拒识后的覆盖率—性能关系。</w:t>
      </w:r>
    </w:p>
    <w:p>
      <w:pPr>
        <w:widowControl/>
        <w:spacing w:line="360" w:lineRule="exact" w:after="0"/>
        <w:ind w:firstLine="480"/>
        <w:jc w:val="both"/>
      </w:pPr>
      <w:r>
        <w:rPr>
          <w:rFonts w:ascii="Times New Roman" w:hAnsi="Times New Roman" w:cs="Times New Roman" w:eastAsia="SimSun"/>
          <w:b w:val="0"/>
          <w:color w:val="000000"/>
          <w:sz w:val="24"/>
        </w:rPr>
        <w:t>第四步输出：可追溯的输入矩阵、冻结划分、模型与超参数、每条样本的折外类别概率、最终测试指标和拒识统计。重点图件是混淆矩阵、各类召回率、概率可靠性、逐平台表现和地质力学特征组增量。</w:t>
      </w:r>
    </w:p>
    <w:p>
      <w:pPr>
        <w:pStyle w:val="Heading1"/>
      </w:pPr>
      <w:r>
        <w:rPr>
          <w:rFonts w:ascii="Times New Roman" w:hAnsi="Times New Roman" w:cs="Times New Roman" w:eastAsia="SimSun"/>
          <w:b/>
          <w:color w:val="000000"/>
          <w:sz w:val="30"/>
        </w:rPr>
        <w:t>8 第五步：SHAP 与地质力学机制联合分析</w:t>
      </w:r>
    </w:p>
    <w:p>
      <w:pPr>
        <w:pStyle w:val="Heading2"/>
      </w:pPr>
      <w:r>
        <w:rPr>
          <w:rFonts w:ascii="Times New Roman" w:hAnsi="Times New Roman" w:cs="Times New Roman" w:eastAsia="SimSun"/>
          <w:b/>
          <w:color w:val="000000"/>
          <w:sz w:val="24"/>
        </w:rPr>
        <w:t>8.1 按风险类型进行解释</w:t>
      </w:r>
    </w:p>
    <w:p>
      <w:pPr>
        <w:widowControl/>
        <w:spacing w:line="360" w:lineRule="exact" w:after="0"/>
        <w:ind w:firstLine="480"/>
        <w:jc w:val="both"/>
      </w:pPr>
      <w:r>
        <w:rPr>
          <w:rFonts w:ascii="Times New Roman" w:hAnsi="Times New Roman" w:cs="Times New Roman" w:eastAsia="SimSun"/>
          <w:b w:val="0"/>
          <w:color w:val="000000"/>
          <w:sz w:val="24"/>
        </w:rPr>
        <w:t>对性能经过验证的模型计算分类型 SHAP。树模型采用 TreeSHAP，优先解释未参与该模型训练的样本；背景样本来自该折训练数据，并记录特征依赖处理方式[8–9]。全局解释既展示每类的平均绝对贡献，也展示贡献的正负方向，不能只画一张混合所有类别的排序图。</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144"/>
        <w:gridCol w:w="936"/>
      </w:tblGrid>
      <w:tr>
        <w:tc>
          <w:tcPr>
            <w:tcW w:type="dxa" w:w="9144"/>
          </w:tcPr>
          <w:p>
            <w:pPr>
              <w:spacing w:line="540" w:lineRule="exact"/>
              <w:ind w:firstLine="0"/>
              <w:jc w:val="center"/>
            </w:pPr>
            <m:oMath>
              <m:sSub>
                <m:e>
                  <m:r>
                    <m:rPr>
                      <m:sty m:val="p"/>
                    </m:rPr>
                    <m:t>f</m:t>
                  </m:r>
                </m:e>
                <m:sub>
                  <m:r>
                    <m:rPr>
                      <m:sty m:val="p"/>
                    </m:rPr>
                    <m:t>k</m:t>
                  </m:r>
                </m:sub>
              </m:sSub>
              <m:r>
                <m:rPr>
                  <m:sty m:val="p"/>
                </m:rPr>
                <m:t>(x) = </m:t>
              </m:r>
              <m:sSub>
                <m:e>
                  <m:r>
                    <m:rPr>
                      <m:sty m:val="p"/>
                    </m:rPr>
                    <m:t>φ</m:t>
                  </m:r>
                </m:e>
                <m:sub>
                  <m:r>
                    <m:rPr>
                      <m:sty m:val="p"/>
                    </m:rPr>
                    <m:t>0k</m:t>
                  </m:r>
                </m:sub>
              </m:sSub>
              <m:r>
                <m:rPr>
                  <m:sty m:val="p"/>
                </m:rPr>
                <m:t> + </m:t>
              </m:r>
              <m:nary>
                <m:naryPr>
                  <m:chr m:val="∑"/>
                  <m:limLoc m:val="subSup"/>
                  <m:grow m:val="0"/>
                  <m:supHide m:val="1"/>
                </m:naryPr>
                <m:sub>
                  <m:r>
                    <m:rPr>
                      <m:sty m:val="p"/>
                    </m:rPr>
                    <m:t>j</m:t>
                  </m:r>
                </m:sub>
                <m:sup/>
                <m:e>
                  <m:sSub>
                    <m:e>
                      <m:r>
                        <m:rPr>
                          <m:sty m:val="p"/>
                        </m:rPr>
                        <m:t>φ</m:t>
                      </m:r>
                    </m:e>
                    <m:sub>
                      <m:r>
                        <m:rPr>
                          <m:sty m:val="p"/>
                        </m:rPr>
                        <m:t>jk</m:t>
                      </m:r>
                    </m:sub>
                  </m:sSub>
                  <m:r>
                    <m:rPr>
                      <m:sty m:val="p"/>
                    </m:rPr>
                    <m:t>(x)</m:t>
                  </m:r>
                </m:e>
              </m:nary>
            </m:oMath>
          </w:p>
        </w:tc>
        <w:tc>
          <w:tcPr>
            <w:tcW w:type="dxa" w:w="936"/>
          </w:tcPr>
          <w:p>
            <w:pPr>
              <w:spacing w:line="540" w:lineRule="exact"/>
              <w:ind w:firstLine="0"/>
              <w:jc w:val="center"/>
            </w:pPr>
            <w:r>
              <w:rPr>
                <w:rFonts w:ascii="Times New Roman" w:hAnsi="Times New Roman" w:cs="Times New Roman" w:eastAsia="SimSun"/>
                <w:b w:val="0"/>
                <w:color w:val="000000"/>
                <w:sz w:val="24"/>
              </w:rPr>
              <w:t>(5)</w:t>
            </w:r>
          </w:p>
        </w:tc>
      </w:tr>
    </w:tbl>
    <w:p>
      <w:pPr>
        <w:widowControl/>
        <w:spacing w:line="360" w:lineRule="exact" w:after="0"/>
        <w:ind w:firstLine="480"/>
        <w:jc w:val="both"/>
      </w:pPr>
      <w:r>
        <w:rPr>
          <w:rFonts w:ascii="Times New Roman" w:hAnsi="Times New Roman" w:cs="Times New Roman" w:eastAsia="SimSun"/>
          <w:b w:val="0"/>
          <w:color w:val="000000"/>
          <w:sz w:val="24"/>
        </w:rPr>
        <w:t>式（5）中 fₖ 为第 k 类的模型输出。XGBoost 多分类默认解释类别原始得分（margin）；SHAP 为正表示该变量抬高该类得分，不能直接写成概率增加了若干个百分点。若采用概率尺度解释，应核对所用实现的支持范围与加和一致性，并清楚标注尺度[9]。需要解释 A 类相对 B 类时，可展示两类得分及对应 SHAP 的差值。</w:t>
      </w:r>
    </w:p>
    <w:p>
      <w:pPr>
        <w:widowControl/>
        <w:spacing w:line="360" w:lineRule="exact" w:after="0"/>
        <w:ind w:firstLine="480"/>
        <w:jc w:val="both"/>
      </w:pPr>
      <w:r>
        <w:rPr>
          <w:rFonts w:ascii="Times New Roman" w:hAnsi="Times New Roman" w:cs="Times New Roman" w:eastAsia="SimSun"/>
          <w:b w:val="0"/>
          <w:color w:val="000000"/>
          <w:sz w:val="24"/>
        </w:rPr>
        <w:t>按平台检查重要性排序及方向的重复性，先在开发数据上预先确定重点变量，再在最终测试上报告这些变量的解释。强相关变量和由同一测井公式派生的变量可能分担贡献，应结合参数替换、特征组消融及数据覆盖检查，不把单个变量排序称为独立因果效应。SHAP 给出的是模型使用信息的方式，机制结论还需独立证据支持。</w:t>
      </w:r>
    </w:p>
    <w:p>
      <w:pPr>
        <w:pStyle w:val="Heading2"/>
      </w:pPr>
      <w:r>
        <w:rPr>
          <w:rFonts w:ascii="Times New Roman" w:hAnsi="Times New Roman" w:cs="Times New Roman" w:eastAsia="SimSun"/>
          <w:b/>
          <w:color w:val="000000"/>
          <w:sz w:val="24"/>
        </w:rPr>
        <w:t>8.2 重点检验的地质力学问题</w:t>
      </w:r>
    </w:p>
    <w:p>
      <w:pPr>
        <w:keepNext/>
        <w:widowControl/>
        <w:spacing w:line="280" w:lineRule="exact" w:after="100"/>
        <w:ind w:firstLine="0"/>
        <w:jc w:val="center"/>
      </w:pPr>
      <w:r>
        <w:rPr>
          <w:rFonts w:ascii="Times New Roman" w:hAnsi="Times New Roman" w:cs="Times New Roman" w:eastAsia="SimSun"/>
          <w:b w:val="0"/>
          <w:color w:val="000000"/>
          <w:sz w:val="21"/>
        </w:rPr>
        <w:t>表 12 参数—模型现象—机制证据的对应设计</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76"/>
        <w:gridCol w:w="3960"/>
        <w:gridCol w:w="3744"/>
      </w:tblGrid>
      <w:tr>
        <w:trPr>
          <w:cantSplit/>
          <w:tblHeader/>
        </w:trPr>
        <w:tc>
          <w:tcPr>
            <w:tcW w:type="dxa" w:w="237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问题</w:t>
            </w:r>
          </w:p>
        </w:tc>
        <w:tc>
          <w:tcPr>
            <w:tcW w:type="dxa" w:w="3960"/>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优先分析的变量／交互</w:t>
            </w:r>
          </w:p>
        </w:tc>
        <w:tc>
          <w:tcPr>
            <w:tcW w:type="dxa" w:w="3744"/>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需要补充的证据</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裂缝是否更易朝邻井延伸</w:t>
            </w:r>
          </w:p>
        </w:tc>
        <w:tc>
          <w:tcPr>
            <w:tcW w:type="dxa" w:w="39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水平应力差×井间方向；井间距×计划施工强度</w:t>
            </w:r>
          </w:p>
        </w:tc>
        <w:tc>
          <w:tcPr>
            <w:tcW w:type="dxa" w:w="374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微地震迁移方向、裂缝解释及邻井接近度；不预设应力差的单调作用</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是否存在跨层或层内约束差异</w:t>
            </w:r>
          </w:p>
        </w:tc>
        <w:tc>
          <w:tcPr>
            <w:tcW w:type="dxa" w:w="39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上下隔层应力差×垂向间距；隔层厚度×弹性差异</w:t>
            </w:r>
          </w:p>
        </w:tc>
        <w:tc>
          <w:tcPr>
            <w:tcW w:type="dxa" w:w="374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层位关系和微地震剖面；有条件时加入可靠裂缝高度诊断</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既有裂缝是否更接近活化</w:t>
            </w:r>
          </w:p>
        </w:tc>
        <w:tc>
          <w:tcPr>
            <w:tcW w:type="dxa" w:w="39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裂缝面有效正应力、剪切裕度、产状与应力方位</w:t>
            </w:r>
          </w:p>
        </w:tc>
        <w:tc>
          <w:tcPr>
            <w:tcW w:type="dxa" w:w="374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可靠裂缝产状、应力场和震源／应变证据；与压力扩散等解释比较</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孔弹性与压力传递如何体现</w:t>
            </w:r>
          </w:p>
        </w:tc>
        <w:tc>
          <w:tcPr>
            <w:tcW w:type="dxa" w:w="39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E′、ν、pp₀、α、压力亏空与井间几何</w:t>
            </w:r>
          </w:p>
        </w:tc>
        <w:tc>
          <w:tcPr>
            <w:tcW w:type="dxa" w:w="374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先降后升等完整曲线、停泵恢复与光纤时空响应；避免形态直接定机制</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工程强度的影响是否因地质而变</w:t>
            </w:r>
          </w:p>
        </w:tc>
        <w:tc>
          <w:tcPr>
            <w:tcW w:type="dxa" w:w="39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计划排量／液量强度×应力、刚度或裂缝代理量</w:t>
            </w:r>
          </w:p>
        </w:tc>
        <w:tc>
          <w:tcPr>
            <w:tcW w:type="dxa" w:w="374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相近地质条件下的设计差异；说明设计本身可能受地质条件影响</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交互分析先选择约 3～4 组有物理依据且资料充分的组合，使用 SHAP 依赖图、交互贡献或相应二维效应图，并显示样本密度。稀疏区域不外推“临界值”。若所用实现不支持稳定的交互 SHAP，可用分层依赖图或有数据支撑的局部对照。重点是解释可重复的因素组合，而不是穷举所有变量两两关系。</w:t>
      </w:r>
    </w:p>
    <w:p>
      <w:pPr>
        <w:widowControl/>
        <w:spacing w:line="360" w:lineRule="exact" w:after="0"/>
        <w:ind w:firstLine="480"/>
        <w:jc w:val="both"/>
      </w:pPr>
      <w:r>
        <w:rPr>
          <w:rFonts w:ascii="Times New Roman" w:hAnsi="Times New Roman" w:cs="Times New Roman" w:eastAsia="SimSun"/>
          <w:b w:val="0"/>
          <w:color w:val="000000"/>
          <w:sz w:val="24"/>
        </w:rPr>
        <w:t>每项主要机制判断整理为“模型现象—适用样本范围—力学假设—独立监测支持—替代解释”。例如，较小井间距与某一强响应类型概率关联，需要进一步检查是否在同平台、相近层位和施工强度内仍可观察到，并与微地震接近度一致。仅有 SHAP 关联时表述为统计关系；形成多源证据后再讨论机制支持程度。</w:t>
      </w:r>
    </w:p>
    <w:p>
      <w:pPr>
        <w:widowControl/>
        <w:spacing w:line="360" w:lineRule="exact" w:after="0"/>
        <w:ind w:firstLine="480"/>
        <w:jc w:val="both"/>
      </w:pPr>
      <w:r>
        <w:rPr>
          <w:rFonts w:ascii="Times New Roman" w:hAnsi="Times New Roman" w:cs="Times New Roman" w:eastAsia="SimSun"/>
          <w:b w:val="0"/>
          <w:color w:val="000000"/>
          <w:sz w:val="24"/>
        </w:rPr>
        <w:t>第五步输出：按类型的 SHAP 总结图、关键变量依赖图、少量交互图、典型与反例的局部解释图，以及地质力学机制证据表。不根据事后分类关系直接给出未经试验检验的最优排量、最优液量或保证防窜的施工措施。</w:t>
      </w:r>
    </w:p>
    <w:p>
      <w:pPr>
        <w:pStyle w:val="Heading1"/>
      </w:pPr>
      <w:r>
        <w:rPr>
          <w:rFonts w:ascii="Times New Roman" w:hAnsi="Times New Roman" w:cs="Times New Roman" w:eastAsia="SimSun"/>
          <w:b/>
          <w:color w:val="000000"/>
          <w:sz w:val="30"/>
        </w:rPr>
        <w:t>9 完整试验矩阵与图表清单</w:t>
      </w:r>
    </w:p>
    <w:p>
      <w:pPr>
        <w:keepNext/>
        <w:widowControl/>
        <w:spacing w:line="280" w:lineRule="exact" w:after="100"/>
        <w:ind w:firstLine="0"/>
        <w:jc w:val="center"/>
      </w:pPr>
      <w:r>
        <w:rPr>
          <w:rFonts w:ascii="Times New Roman" w:hAnsi="Times New Roman" w:cs="Times New Roman" w:eastAsia="SimSun"/>
          <w:b w:val="0"/>
          <w:color w:val="000000"/>
          <w:sz w:val="21"/>
        </w:rPr>
        <w:t>表 13 必须完成的试验及判定目的</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936"/>
        <w:gridCol w:w="4392"/>
        <w:gridCol w:w="4752"/>
      </w:tblGrid>
      <w:tr>
        <w:trPr>
          <w:cantSplit/>
          <w:tblHeader/>
        </w:trPr>
        <w:tc>
          <w:tcPr>
            <w:tcW w:type="dxa" w:w="93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编号</w:t>
            </w:r>
          </w:p>
        </w:tc>
        <w:tc>
          <w:tcPr>
            <w:tcW w:type="dxa" w:w="439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试验／输入</w:t>
            </w:r>
          </w:p>
        </w:tc>
        <w:tc>
          <w:tcPr>
            <w:tcW w:type="dxa" w:w="475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输出与判定目的</w:t>
            </w:r>
          </w:p>
        </w:tc>
      </w:tr>
      <w:tr>
        <w:trPr>
          <w:cantSplit/>
        </w:trPr>
        <w:tc>
          <w:tcPr>
            <w:tcW w:type="dxa" w:w="9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E01</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数据质量与曲线表示；同一批原始曲线</w:t>
            </w:r>
          </w:p>
        </w:tc>
        <w:tc>
          <w:tcPr>
            <w:tcW w:type="dxa" w:w="47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基线、采样间隔、平滑及缺测的影响；确认分型不是处理伪影</w:t>
            </w:r>
          </w:p>
        </w:tc>
      </w:tr>
      <w:tr>
        <w:trPr>
          <w:cantSplit/>
        </w:trPr>
        <w:tc>
          <w:tcPr>
            <w:tcW w:type="dxa" w:w="9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E02</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三种聚类×K＝2～6；相同发现样本</w:t>
            </w:r>
          </w:p>
        </w:tc>
        <w:tc>
          <w:tcPr>
            <w:tcW w:type="dxa" w:w="47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共同轮廓系数、组重采样稳定性和类支持度；选算法及 K</w:t>
            </w:r>
          </w:p>
        </w:tc>
      </w:tr>
      <w:tr>
        <w:trPr>
          <w:cantSplit/>
        </w:trPr>
        <w:tc>
          <w:tcPr>
            <w:tcW w:type="dxa" w:w="9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E03</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DTW 限制、幅度处理、时间长度及风险阈值敏感性</w:t>
            </w:r>
          </w:p>
        </w:tc>
        <w:tc>
          <w:tcPr>
            <w:tcW w:type="dxa" w:w="47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原型、标签变化和类内风险分布；冻结成熟类型与待判定规则</w:t>
            </w:r>
          </w:p>
        </w:tc>
      </w:tr>
      <w:tr>
        <w:trPr>
          <w:cantSplit/>
        </w:trPr>
        <w:tc>
          <w:tcPr>
            <w:tcW w:type="dxa" w:w="9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E04</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冻结压力标签＋独立微地震／光纤</w:t>
            </w:r>
          </w:p>
        </w:tc>
        <w:tc>
          <w:tcPr>
            <w:tcW w:type="dxa" w:w="47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类间监测差异、匹配案例和不一致案例；检验风险解释的合理性</w:t>
            </w:r>
          </w:p>
        </w:tc>
      </w:tr>
      <w:tr>
        <w:trPr>
          <w:cantSplit/>
        </w:trPr>
        <w:tc>
          <w:tcPr>
            <w:tcW w:type="dxa" w:w="9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E05</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三种分类器；相同地质工程输入与平台划分</w:t>
            </w:r>
          </w:p>
        </w:tc>
        <w:tc>
          <w:tcPr>
            <w:tcW w:type="dxa" w:w="47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折外及外部多分类性能、概率质量；确定最终预测模型</w:t>
            </w:r>
          </w:p>
        </w:tc>
      </w:tr>
      <w:tr>
        <w:trPr>
          <w:cantSplit/>
        </w:trPr>
        <w:tc>
          <w:tcPr>
            <w:tcW w:type="dxa" w:w="9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E06</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工程几何、基础力学、隔层非均质性、裂缝属性分组</w:t>
            </w:r>
          </w:p>
        </w:tc>
        <w:tc>
          <w:tcPr>
            <w:tcW w:type="dxa" w:w="47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共同样本上的增量与覆盖率；量化地质力学参数的预测价值</w:t>
            </w:r>
          </w:p>
        </w:tc>
      </w:tr>
      <w:tr>
        <w:trPr>
          <w:cantSplit/>
        </w:trPr>
        <w:tc>
          <w:tcPr>
            <w:tcW w:type="dxa" w:w="9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E07</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分类型 SHAP、相关参数替换、跨平台重复检查</w:t>
            </w:r>
          </w:p>
        </w:tc>
        <w:tc>
          <w:tcPr>
            <w:tcW w:type="dxa" w:w="47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关键因素方向与排序的稳定性；识别平台或派生特征依赖</w:t>
            </w:r>
          </w:p>
        </w:tc>
      </w:tr>
      <w:tr>
        <w:trPr>
          <w:cantSplit/>
        </w:trPr>
        <w:tc>
          <w:tcPr>
            <w:tcW w:type="dxa" w:w="93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E08</w:t>
            </w:r>
          </w:p>
        </w:tc>
        <w:tc>
          <w:tcPr>
            <w:tcW w:type="dxa" w:w="439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封存平台及后续新增平台</w:t>
            </w:r>
          </w:p>
        </w:tc>
        <w:tc>
          <w:tcPr>
            <w:tcW w:type="dxa" w:w="47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类型可赋值率、已知类型性能、拒识和失败案例；界定适用范围</w:t>
            </w:r>
          </w:p>
        </w:tc>
      </w:tr>
    </w:tbl>
    <w:p>
      <w:pPr>
        <w:widowControl/>
        <w:spacing w:line="80" w:lineRule="exact" w:after="0"/>
        <w:ind w:firstLine="0"/>
        <w:jc w:val="both"/>
      </w:pPr>
      <w:r>
        <w:rPr>
          <w:rFonts w:ascii="Times New Roman" w:hAnsi="Times New Roman" w:cs="Times New Roman" w:eastAsia="SimSun"/>
          <w:b w:val="0"/>
          <w:color w:val="000000"/>
          <w:sz w:val="10"/>
        </w:rPr>
      </w:r>
    </w:p>
    <w:p>
      <w:pPr>
        <w:keepNext/>
        <w:widowControl/>
        <w:spacing w:line="280" w:lineRule="exact" w:after="100"/>
        <w:ind w:firstLine="0"/>
        <w:jc w:val="center"/>
      </w:pPr>
      <w:r>
        <w:rPr>
          <w:rFonts w:ascii="Times New Roman" w:hAnsi="Times New Roman" w:cs="Times New Roman" w:eastAsia="SimSun"/>
          <w:b w:val="0"/>
          <w:color w:val="000000"/>
          <w:sz w:val="21"/>
        </w:rPr>
        <w:t>表 14 论文应形成的主要图件</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160"/>
        <w:gridCol w:w="4968"/>
        <w:gridCol w:w="2952"/>
      </w:tblGrid>
      <w:tr>
        <w:trPr>
          <w:cantSplit/>
          <w:tblHeader/>
        </w:trPr>
        <w:tc>
          <w:tcPr>
            <w:tcW w:type="dxa" w:w="2160"/>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图件</w:t>
            </w:r>
          </w:p>
        </w:tc>
        <w:tc>
          <w:tcPr>
            <w:tcW w:type="dxa" w:w="496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内容</w:t>
            </w:r>
          </w:p>
        </w:tc>
        <w:tc>
          <w:tcPr>
            <w:tcW w:type="dxa" w:w="295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要说明的结论</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1 样本与研究路线</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平台、井轨迹、射孔层位及五步流程；标明发现／开发／测试用途</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研究对象与独立验证边界清楚</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2 曲线预处理示例</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排量、原始压力、基线校正、缺口与施工窗；保留 MPa 和 min</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时滞和涨幅来源可复核</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3 聚类优选与稳定性</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算法×K 指标、ARI 分布、类型跨平台覆盖</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分几类、为何采用该算法有依据</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4 类型与风险总览</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每类实际代表曲线＋分位带、A₆₀／时滞分布、风险等级比例</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各类型的形态和风险差异；作为核心成果图</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5 微地震独立对照</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按类型的接近度、定向迁移及时间差；定位误差与组区间</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分类是否具有独立的时空支持</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6 多源典型与反例</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井轨迹、事件平剖面、排量压力同步曲线；可选光纤</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哪些机制得到支持、哪些仍存在歧义</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7 分类性能与校准</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混淆矩阵、各类召回率、可靠性及逐平台结果</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施工前模型能否预测已定义类型</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8 地质力学增量</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同样本、同划分下各输入组的性能差和区间</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增加力学参数是否改善预测</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9 分类型 SHAP</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每类的贡献排序、正负分布、重点变量与交互关系</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模型依赖哪些因素及适用区间</w:t>
            </w:r>
          </w:p>
        </w:tc>
      </w:tr>
      <w:tr>
        <w:trPr>
          <w:cantSplit/>
        </w:trPr>
        <w:tc>
          <w:tcPr>
            <w:tcW w:type="dxa" w:w="216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图 10 外部适用性</w:t>
            </w:r>
          </w:p>
        </w:tc>
        <w:tc>
          <w:tcPr>
            <w:tcW w:type="dxa" w:w="496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新平台可赋值率、拒识比例、错误案例及平台增加的学习曲线</w:t>
            </w:r>
          </w:p>
        </w:tc>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哪些样本可推广，后续应补什么数据</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最终可形成与参考图相似的综合展示，但建议列为“风险类型—实际代表压力曲线—定量响应特征—风险等级分布—微地震证据—可能机制及证据等级”。施工措施可作为讨论中的待验证启示，不在核心分类表中列未经验证的定量处方。</w:t>
      </w:r>
    </w:p>
    <w:p>
      <w:pPr>
        <w:keepNext/>
        <w:widowControl/>
        <w:spacing w:line="280" w:lineRule="exact" w:after="100"/>
        <w:ind w:firstLine="0"/>
        <w:jc w:val="center"/>
      </w:pPr>
      <w:r>
        <w:rPr>
          <w:rFonts w:ascii="Times New Roman" w:hAnsi="Times New Roman" w:cs="Times New Roman" w:eastAsia="SimSun"/>
          <w:b w:val="0"/>
          <w:color w:val="000000"/>
          <w:sz w:val="21"/>
        </w:rPr>
        <w:t>表 15 论文的核心数据表</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952"/>
        <w:gridCol w:w="7128"/>
      </w:tblGrid>
      <w:tr>
        <w:trPr>
          <w:cantSplit/>
          <w:tblHeader/>
        </w:trPr>
        <w:tc>
          <w:tcPr>
            <w:tcW w:type="dxa" w:w="2952"/>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表件</w:t>
            </w:r>
          </w:p>
        </w:tc>
        <w:tc>
          <w:tcPr>
            <w:tcW w:type="dxa" w:w="7128"/>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必须包含的内容</w:t>
            </w:r>
          </w:p>
        </w:tc>
      </w:tr>
      <w:tr>
        <w:trPr>
          <w:cantSplit/>
        </w:trPr>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样本覆盖及质量表</w:t>
            </w:r>
          </w:p>
        </w:tc>
        <w:tc>
          <w:tcPr>
            <w:tcW w:type="dxa" w:w="71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平台／井对／施工段／样本数；各类覆盖；排除、微地震可用及未知类型比例</w:t>
            </w:r>
          </w:p>
        </w:tc>
      </w:tr>
      <w:tr>
        <w:trPr>
          <w:cantSplit/>
        </w:trPr>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输入变量与来源表</w:t>
            </w:r>
          </w:p>
        </w:tc>
        <w:tc>
          <w:tcPr>
            <w:tcW w:type="dxa" w:w="71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单位、公式、空间支持尺度、获取时点、缺失率及解释版本</w:t>
            </w:r>
          </w:p>
        </w:tc>
      </w:tr>
      <w:tr>
        <w:trPr>
          <w:cantSplit/>
        </w:trPr>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类型定义与风险表</w:t>
            </w:r>
          </w:p>
        </w:tc>
        <w:tc>
          <w:tcPr>
            <w:tcW w:type="dxa" w:w="71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类名、数量、实际原型、响应统计、风险等级分布和标签稳定性</w:t>
            </w:r>
          </w:p>
        </w:tc>
      </w:tr>
      <w:tr>
        <w:trPr>
          <w:cantSplit/>
        </w:trPr>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模型比较表</w:t>
            </w:r>
          </w:p>
        </w:tc>
        <w:tc>
          <w:tcPr>
            <w:tcW w:type="dxa" w:w="71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相同划分的宏 F1、各类召回率、概率指标、逐平台结果及参数范围</w:t>
            </w:r>
          </w:p>
        </w:tc>
      </w:tr>
      <w:tr>
        <w:trPr>
          <w:cantSplit/>
        </w:trPr>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力学增量与稳健性表</w:t>
            </w:r>
          </w:p>
        </w:tc>
        <w:tc>
          <w:tcPr>
            <w:tcW w:type="dxa" w:w="71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特征组变化、共同样本数、性能变化、关键解释是否稳定</w:t>
            </w:r>
          </w:p>
        </w:tc>
      </w:tr>
      <w:tr>
        <w:trPr>
          <w:cantSplit/>
        </w:trPr>
        <w:tc>
          <w:tcPr>
            <w:tcW w:type="dxa" w:w="2952"/>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机制证据对照表</w:t>
            </w:r>
          </w:p>
        </w:tc>
        <w:tc>
          <w:tcPr>
            <w:tcW w:type="dxa" w:w="7128"/>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案例、类型、力学参数、微地震／光纤证据、支持对象与替代解释</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IGS 正文可根据模板篇幅将相邻图件合并为 6～8 幅主图，并保留样本、类型、模型、机制四类核心表；完整变量库和稳健性结果作为分析附件。图表用于呈现真实实验结果，方案阶段不预填性能、最终类别数量或主要因素排名。</w:t>
      </w:r>
    </w:p>
    <w:p>
      <w:pPr>
        <w:pStyle w:val="Heading1"/>
      </w:pPr>
      <w:r>
        <w:rPr>
          <w:rFonts w:ascii="Times New Roman" w:hAnsi="Times New Roman" w:cs="Times New Roman" w:eastAsia="SimSun"/>
          <w:b/>
          <w:color w:val="000000"/>
          <w:sz w:val="30"/>
        </w:rPr>
        <w:t>10 执行顺序、阶段成果与后续扩展</w:t>
      </w:r>
    </w:p>
    <w:p>
      <w:pPr>
        <w:widowControl/>
        <w:spacing w:line="360" w:lineRule="exact" w:after="0"/>
        <w:ind w:firstLine="480"/>
        <w:jc w:val="both"/>
      </w:pPr>
      <w:r>
        <w:rPr>
          <w:rFonts w:ascii="Times New Roman" w:hAnsi="Times New Roman" w:cs="Times New Roman" w:eastAsia="SimSun"/>
          <w:b w:val="0"/>
          <w:color w:val="000000"/>
          <w:sz w:val="24"/>
        </w:rPr>
        <w:t>阶段一：以 L201H5 完成数据字典、时间／坐标核对、施工事件和邻井匹配、压力质量控制。随机抽取常见形态并主动检查极值、先降后升及缺测案例；形成可复核的试运行数据，不将单平台类型直接定为最终标签。</w:t>
      </w:r>
    </w:p>
    <w:p>
      <w:pPr>
        <w:widowControl/>
        <w:spacing w:line="360" w:lineRule="exact" w:after="0"/>
        <w:ind w:firstLine="480"/>
        <w:jc w:val="both"/>
      </w:pPr>
      <w:r>
        <w:rPr>
          <w:rFonts w:ascii="Times New Roman" w:hAnsi="Times New Roman" w:cs="Times New Roman" w:eastAsia="SimSun"/>
          <w:b w:val="0"/>
          <w:color w:val="000000"/>
          <w:sz w:val="24"/>
        </w:rPr>
        <w:t>阶段二：接入多个平台后先固定 D0／D1／D2，再运行 E01～E03。冻结压力类型字典、风险解释和未知类型规则后，开展 E04 的独立微地震验证；验证不支持时据实记录，若重新修订字典，原验证资料转为开发资料并另留验证样本。</w:t>
      </w:r>
    </w:p>
    <w:p>
      <w:pPr>
        <w:widowControl/>
        <w:spacing w:line="360" w:lineRule="exact" w:after="0"/>
        <w:ind w:firstLine="480"/>
        <w:jc w:val="both"/>
      </w:pPr>
      <w:r>
        <w:rPr>
          <w:rFonts w:ascii="Times New Roman" w:hAnsi="Times New Roman" w:cs="Times New Roman" w:eastAsia="SimSun"/>
          <w:b w:val="0"/>
          <w:color w:val="000000"/>
          <w:sz w:val="24"/>
        </w:rPr>
        <w:t>阶段三：整理施工前输入，完成 E05～E07，并在开发数据内冻结模型、校准和拒识设置；最后开放 D2 完成 E08。新增平台首先用既有字典赋值和测试，确有新类型时建立新版字典并重新训练，版本之间不混用标签与指标。</w:t>
      </w:r>
    </w:p>
    <w:p>
      <w:pPr>
        <w:keepNext/>
        <w:widowControl/>
        <w:spacing w:line="280" w:lineRule="exact" w:after="100"/>
        <w:ind w:firstLine="0"/>
        <w:jc w:val="center"/>
      </w:pPr>
      <w:r>
        <w:rPr>
          <w:rFonts w:ascii="Times New Roman" w:hAnsi="Times New Roman" w:cs="Times New Roman" w:eastAsia="SimSun"/>
          <w:b w:val="0"/>
          <w:color w:val="000000"/>
          <w:sz w:val="21"/>
        </w:rPr>
        <w:t>表 16 每个环节应保存的数据与模型文件</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2376"/>
        <w:gridCol w:w="4824"/>
        <w:gridCol w:w="2880"/>
      </w:tblGrid>
      <w:tr>
        <w:trPr>
          <w:cantSplit/>
          <w:tblHeader/>
        </w:trPr>
        <w:tc>
          <w:tcPr>
            <w:tcW w:type="dxa" w:w="2376"/>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结果文件</w:t>
            </w:r>
          </w:p>
        </w:tc>
        <w:tc>
          <w:tcPr>
            <w:tcW w:type="dxa" w:w="4824"/>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关键字段／内容</w:t>
            </w:r>
          </w:p>
        </w:tc>
        <w:tc>
          <w:tcPr>
            <w:tcW w:type="dxa" w:w="2880"/>
            <w:vAlign w:val="center"/>
            <w:tcMar>
              <w:top w:w="65" w:type="dxa"/>
              <w:bottom w:w="65" w:type="dxa"/>
              <w:left w:w="65" w:type="dxa"/>
              <w:right w:w="65" w:type="dxa"/>
            </w:tcMar>
            <w:tcBorders>
              <w:bottom w:val="single" w:sz="6"/>
            </w:tcBorders>
          </w:tcPr>
          <w:p>
            <w:pPr>
              <w:keepNext/>
              <w:spacing w:line="280" w:lineRule="exact" w:after="0"/>
              <w:ind w:firstLine="0"/>
              <w:jc w:val="center"/>
            </w:pPr>
            <w:r>
              <w:rPr>
                <w:rFonts w:ascii="Times New Roman" w:hAnsi="Times New Roman" w:cs="Times New Roman" w:eastAsia="SimSun"/>
                <w:b/>
                <w:color w:val="000000"/>
                <w:sz w:val="21"/>
              </w:rPr>
              <w:t>供下一步使用</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事件与质量表</w:t>
            </w:r>
          </w:p>
        </w:tc>
        <w:tc>
          <w:tcPr>
            <w:tcW w:type="dxa" w:w="482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sample_id、平台、物理井对、段／episode、起止时间、QC 与纳入原因</w:t>
            </w:r>
          </w:p>
        </w:tc>
        <w:tc>
          <w:tcPr>
            <w:tcW w:type="dxa" w:w="288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追溯所有原始数据</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压力序列与特征表</w:t>
            </w:r>
          </w:p>
        </w:tc>
        <w:tc>
          <w:tcPr>
            <w:tcW w:type="dxa" w:w="482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实际时间 Δp、201 点序列、A₆₀、时滞／删失、斜率、持续性</w:t>
            </w:r>
          </w:p>
        </w:tc>
        <w:tc>
          <w:tcPr>
            <w:tcW w:type="dxa" w:w="288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聚类和类型描述</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类型库与标签表</w:t>
            </w:r>
          </w:p>
        </w:tc>
        <w:tc>
          <w:tcPr>
            <w:tcW w:type="dxa" w:w="482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预处理、原型、距离、C／T／R、标签版本、拒识原因</w:t>
            </w:r>
          </w:p>
        </w:tc>
        <w:tc>
          <w:tcPr>
            <w:tcW w:type="dxa" w:w="288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统一新增平台的标签</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微地震验证表</w:t>
            </w:r>
          </w:p>
        </w:tc>
        <w:tc>
          <w:tcPr>
            <w:tcW w:type="dxa" w:w="482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定位与配准信息、距离、迁移、时间差、证据等级、案例索引</w:t>
            </w:r>
          </w:p>
        </w:tc>
        <w:tc>
          <w:tcPr>
            <w:tcW w:type="dxa" w:w="288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独立检验及机制案例</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施工前输入矩阵</w:t>
            </w:r>
          </w:p>
        </w:tc>
        <w:tc>
          <w:tcPr>
            <w:tcW w:type="dxa" w:w="482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每个样本的地质工程特征、单位、来源、时间版本、缺失标记</w:t>
            </w:r>
          </w:p>
        </w:tc>
        <w:tc>
          <w:tcPr>
            <w:tcW w:type="dxa" w:w="288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分类模型训练与复核</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划分与预测结果</w:t>
            </w:r>
          </w:p>
        </w:tc>
        <w:tc>
          <w:tcPr>
            <w:tcW w:type="dxa" w:w="482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D0／D1／D2、折号、真实 T、各类概率、预测 T、拒识与模型版本</w:t>
            </w:r>
          </w:p>
        </w:tc>
        <w:tc>
          <w:tcPr>
            <w:tcW w:type="dxa" w:w="288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复算外测指标与校准</w:t>
            </w:r>
          </w:p>
        </w:tc>
      </w:tr>
      <w:tr>
        <w:trPr>
          <w:cantSplit/>
        </w:trPr>
        <w:tc>
          <w:tcPr>
            <w:tcW w:type="dxa" w:w="2376"/>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解释及实验记录</w:t>
            </w:r>
          </w:p>
        </w:tc>
        <w:tc>
          <w:tcPr>
            <w:tcW w:type="dxa" w:w="4824"/>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按类 SHAP、输出尺度、训练背景、算法参数、软件版本、随机种子</w:t>
            </w:r>
          </w:p>
        </w:tc>
        <w:tc>
          <w:tcPr>
            <w:tcW w:type="dxa" w:w="2880"/>
            <w:vAlign w:val="center"/>
            <w:tcMar>
              <w:top w:w="65" w:type="dxa"/>
              <w:bottom w:w="65" w:type="dxa"/>
              <w:left w:w="65" w:type="dxa"/>
              <w:right w:w="65" w:type="dxa"/>
            </w:tcMar>
          </w:tcPr>
          <w:p>
            <w:pPr>
              <w:keepNext w:val="0"/>
              <w:spacing w:line="280" w:lineRule="exact" w:after="0"/>
              <w:ind w:firstLine="0"/>
              <w:jc w:val="center"/>
            </w:pPr>
            <w:r>
              <w:rPr>
                <w:rFonts w:ascii="Times New Roman" w:hAnsi="Times New Roman" w:cs="Times New Roman" w:eastAsia="SimSun"/>
                <w:b w:val="0"/>
                <w:color w:val="000000"/>
                <w:sz w:val="21"/>
              </w:rPr>
              <w:t>重现图表及更新研究</w:t>
            </w:r>
          </w:p>
        </w:tc>
      </w:tr>
    </w:tbl>
    <w:p>
      <w:pPr>
        <w:widowControl/>
        <w:spacing w:line="80" w:lineRule="exact" w:after="0"/>
        <w:ind w:firstLine="0"/>
        <w:jc w:val="both"/>
      </w:pPr>
      <w:r>
        <w:rPr>
          <w:rFonts w:ascii="Times New Roman" w:hAnsi="Times New Roman" w:cs="Times New Roman" w:eastAsia="SimSun"/>
          <w:b w:val="0"/>
          <w:color w:val="000000"/>
          <w:sz w:val="10"/>
        </w:rPr>
      </w:r>
    </w:p>
    <w:p>
      <w:pPr>
        <w:widowControl/>
        <w:spacing w:line="360" w:lineRule="exact" w:after="0"/>
        <w:ind w:firstLine="480"/>
        <w:jc w:val="both"/>
      </w:pPr>
      <w:r>
        <w:rPr>
          <w:rFonts w:ascii="Times New Roman" w:hAnsi="Times New Roman" w:cs="Times New Roman" w:eastAsia="SimSun"/>
          <w:b w:val="0"/>
          <w:color w:val="000000"/>
          <w:sz w:val="24"/>
        </w:rPr>
        <w:t>补充数据优先级为：不同平台和物理井对的强弱响应；可靠的施工日志与邻井操作记录；统一坐标的轨迹、射孔及力学解释；应力方位、地层压力和隔层约束；有明确定位质量的微地震及裂缝／地震属性。优先扩大地质条件和井对覆盖，而不是只增加同一井对的高频采样点。</w:t>
      </w:r>
    </w:p>
    <w:p>
      <w:pPr>
        <w:widowControl/>
        <w:spacing w:line="360" w:lineRule="exact" w:after="0"/>
        <w:ind w:firstLine="480"/>
        <w:jc w:val="both"/>
      </w:pPr>
      <w:r>
        <w:rPr>
          <w:rFonts w:ascii="Times New Roman" w:hAnsi="Times New Roman" w:cs="Times New Roman" w:eastAsia="SimSun"/>
          <w:b w:val="0"/>
          <w:color w:val="000000"/>
          <w:sz w:val="24"/>
        </w:rPr>
        <w:t>IGS 阶段围绕这条五步主线完成“类型可重复、风险有依据、独立监测支持、施工前可预测、地质力学可解释”的研究。若部分类型证据仍薄弱，应保留探索性定位并清楚报告，不能为了完成主线把不稳定簇变成确定机制。</w:t>
      </w:r>
    </w:p>
    <w:p>
      <w:pPr>
        <w:widowControl/>
        <w:spacing w:line="360" w:lineRule="exact" w:after="0"/>
        <w:ind w:firstLine="480"/>
        <w:jc w:val="both"/>
      </w:pPr>
      <w:r>
        <w:rPr>
          <w:rFonts w:ascii="Times New Roman" w:hAnsi="Times New Roman" w:cs="Times New Roman" w:eastAsia="SimSun"/>
          <w:b w:val="0"/>
          <w:color w:val="000000"/>
          <w:sz w:val="24"/>
        </w:rPr>
        <w:t>后续 SPEJ 可在同一类型库基础上增加施工中动态预警：只使用当前时刻及之前的数据，预测未来窗口的风险类型或经独立核验的异常事件，并增加提前量、误报次数、时间外推和前瞻性验证。新的时间任务、独立平台与机制验证可形成实质扩展；本阶段完整施工曲线的事后聚类不称为已实现实时预警。</w:t>
      </w:r>
    </w:p>
    <w:p>
      <w:pPr>
        <w:pStyle w:val="Heading1"/>
      </w:pPr>
      <w:r>
        <w:rPr>
          <w:rFonts w:ascii="Times New Roman" w:hAnsi="Times New Roman" w:cs="Times New Roman" w:eastAsia="SimSun"/>
          <w:b/>
          <w:color w:val="000000"/>
          <w:sz w:val="30"/>
        </w:rPr>
        <w:t>11 方法依据与重点阅读文献</w:t>
      </w:r>
    </w:p>
    <w:p>
      <w:pPr>
        <w:widowControl/>
        <w:spacing w:line="280" w:lineRule="exact" w:after="100"/>
        <w:ind w:firstLine="0"/>
        <w:jc w:val="both"/>
      </w:pPr>
      <w:r>
        <w:rPr>
          <w:rFonts w:ascii="Times New Roman" w:hAnsi="Times New Roman" w:cs="Times New Roman" w:eastAsia="SimSun"/>
          <w:b w:val="0"/>
          <w:color w:val="000000"/>
          <w:sz w:val="21"/>
        </w:rPr>
        <w:t>以下以原始方法论文、作者论文版本和官方说明为主。文献支持算法与机制框架；本方案中的窗口、阈值、类别数量范围和验证设置是研究设计起点，需在发现／开发数据内确定。</w:t>
      </w:r>
    </w:p>
    <w:p>
      <w:pPr>
        <w:keepNext/>
        <w:keepLines/>
        <w:widowControl/>
        <w:spacing w:line="280" w:lineRule="exact" w:after="20"/>
        <w:ind w:firstLine="0"/>
        <w:jc w:val="left"/>
      </w:pPr>
      <w:r>
        <w:rPr>
          <w:rFonts w:ascii="Times New Roman" w:hAnsi="Times New Roman" w:cs="Times New Roman" w:eastAsia="SimSun"/>
          <w:b w:val="0"/>
          <w:color w:val="000000"/>
          <w:sz w:val="21"/>
        </w:rPr>
        <w:t>[1] TSLEARN. Dynamic Time Warping[EB/OL]. Accessed 2026-09-15.</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用途：DTW、Sakoe–Chiba 路径约束及其时序比较含义。 </w:t>
      </w:r>
      <w:hyperlink r:id="rId9">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[2] CUTURI M, BLONDEL M. Soft-DTW: A differentiable loss function for time-series[C]//ICML. PMLR, 2017, 70: 894–903.</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用途：Soft-DTW 波形聚类的原始方法。 </w:t>
      </w:r>
      <w:hyperlink r:id="rId10">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[3] BLONDEL M, MENSCH A, VERT J P. Differentiable divergences between time series[EB/OL]. arXiv:2010.08354, 2020.</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用途：区分原始 Soft-DTW 损失与归一化散度。 </w:t>
      </w:r>
      <w:hyperlink r:id="rId11">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[4] CHEN H, MENG X, NIU F, et al. Microseismic monitoring of stimulating shale gas reservoir in SW China: 2. Spatial clustering controlled by the preexisting faults and fractures[J]. Journal of Geophysical Research: Solid Earth, 2018, 123(2): 1659–1672.</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用途：四川页岩气微地震时空演化、既有构造控制及监测解释边界。 </w:t>
      </w:r>
      <w:hyperlink r:id="rId12">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[5] DETOURNAY E. Mechanics of hydraulic fractures[J]. Annual Review of Fluid Mechanics, 2016, 48: 311–339.</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用途：流体驱动、应力、弹性与断裂扩展的物理背景。 </w:t>
      </w:r>
      <w:hyperlink r:id="rId13">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[6] CHEN T, GUESTRIN C. XGBoost: A scalable tree boosting system[C]//KDD. 2016: 785–794.</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用途：梯度提升树分类主候选。 </w:t>
      </w:r>
      <w:hyperlink r:id="rId14">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[7] SCIKIT-LEARN. Cross-validation: Evaluating estimator performance[EB/OL]. Accessed 2026-09-15.</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用途：按平台、井对及施工段进行分组验证。 </w:t>
      </w:r>
      <w:hyperlink r:id="rId15">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[8] LUNDBERG S M, ERION G, CHEN H, et al. From local explanations to global understanding with explainable AI for trees[J]. Nature Machine Intelligence, 2020, 2: 56–67.</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用途：TreeSHAP 原理、局部和全局解释；链接为作者论文版本。 </w:t>
      </w:r>
      <w:hyperlink r:id="rId16">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[9] SHAP. shap.TreeExplainer[EB/OL]. Accessed 2026-09-15.</w:t>
      </w:r>
    </w:p>
    <w:p>
      <w:pPr>
        <w:keepLines/>
        <w:widowControl/>
        <w:spacing w:line="280" w:lineRule="exact" w:after="120"/>
        <w:ind w:firstLine="0"/>
        <w:jc w:val="both"/>
      </w:pPr>
      <w:r>
        <w:rPr>
          <w:rFonts w:ascii="Times New Roman" w:hAnsi="Times New Roman" w:cs="Times New Roman" w:eastAsia="SimSun"/>
          <w:b w:val="0"/>
          <w:color w:val="000000"/>
          <w:sz w:val="21"/>
        </w:rPr>
        <w:t xml:space="preserve">用途：背景数据、特征依赖假设及输出尺度。 </w:t>
      </w:r>
      <w:hyperlink r:id="rId17">
        <w:r>
          <w:rPr>
            <w:rFonts w:ascii="Times New Roman" w:hAnsi="Times New Roman" w:eastAsia="SimSun"/>
            <w:sz w:val="21"/>
            <w:color w:val="0563C1"/>
            <w:u w:val="single"/>
          </w:rPr>
          <w:t>文献／方法链接</w:t>
        </w:r>
      </w:hyperlink>
    </w:p>
    <w:p>
      <w:pPr>
        <w:keepNext/>
        <w:keepLines/>
        <w:widowControl/>
        <w:spacing w:line="280" w:lineRule="exact" w:after="20"/>
        <w:ind w:firstLine="0"/>
        <w:jc w:val="left"/>
      </w:pPr>
      <w:r>
        <w:rPr>
          <w:rFonts w:ascii="Times New Roman" w:hAnsi="Times New Roman" w:cs="Times New Roman" w:eastAsia="SimSun"/>
          <w:b w:val="0"/>
          <w:color w:val="000000"/>
          <w:sz w:val="21"/>
        </w:rPr>
        <w:t>[10] GAO Q, GHASSEMI A. Poroelastic effects in analysis of pore pressure and strain around a 3D propagating hydraulic fracture[J]. SPE Journal, 2024, 29(12): 6962–6979.</w:t>
      </w:r>
    </w:p>
    <w:p>
      <w:pPr>
        <w:keepLines/>
        <w:widowControl/>
        <w:spacing w:line="280" w:lineRule="exact" w:after="120"/>
        <w:ind w:firstLine="0"/>
        <w:jc w:val="both"/>
      </w:pPr>
      <w:r>
        <w:rPr>
          <w:rFonts w:ascii="Times New Roman" w:hAnsi="Times New Roman" w:cs="Times New Roman" w:eastAsia="SimSun"/>
          <w:b w:val="0"/>
          <w:color w:val="000000"/>
          <w:sz w:val="21"/>
        </w:rPr>
        <w:t xml:space="preserve">延伸阅读：压力与应变的孔弹性解释。具体模型和结果需取得全文后使用。 </w:t>
      </w:r>
      <w:hyperlink r:id="rId18">
        <w:r>
          <w:rPr>
            <w:rFonts w:ascii="Times New Roman" w:hAnsi="Times New Roman" w:eastAsia="SimSun"/>
            <w:sz w:val="21"/>
            <w:color w:val="0563C1"/>
            <w:u w:val="single"/>
          </w:rPr>
          <w:t>文献／方法链接</w:t>
        </w:r>
      </w:hyperlink>
    </w:p>
    <w:sectPr w:rsidR="00FC693F" w:rsidRPr="0006063C" w:rsidSect="00034616">
      <w:footerReference w:type="default" r:id="rId19"/>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SimSun"/>
        <w:b w:val="0"/>
        <w:color w:val="000000"/>
        <w:sz w:val="20"/>
      </w:rP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exact"/>
      <w:ind w:firstLine="480"/>
    </w:pPr>
    <w:rPr>
      <w:rFonts w:ascii="Times New Roman" w:hAnsi="Times New Roman" w:cs="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HeaderChar">
    <w:name w:val="Header Char"/>
    <w:basedOn w:val="DefaultParagraphFont"/>
    <w:link w:val="Header"/>
    <w:uiPriority w:val="99"/>
    <w:rsid w:val="00E618BF"/>
    <w:rPr>
      <w:rFonts w:ascii="Times New Roman" w:hAnsi="Times New Roman" w:cs="Times New Roman" w:eastAsia="SimSu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SimSun"/>
      <w:color w:val="000000"/>
    </w:rPr>
  </w:style>
  <w:style w:type="character" w:customStyle="1" w:styleId="FooterChar">
    <w:name w:val="Footer Char"/>
    <w:basedOn w:val="DefaultParagraphFont"/>
    <w:link w:val="Footer"/>
    <w:uiPriority w:val="99"/>
    <w:rsid w:val="00E618BF"/>
    <w:rPr>
      <w:rFonts w:ascii="Times New Roman" w:hAnsi="Times New Roman" w:cs="Times New Roman" w:eastAsia="SimSun"/>
      <w:color w:val="000000"/>
    </w:rPr>
  </w:style>
  <w:style w:type="paragraph" w:styleId="Heading1">
    <w:name w:val="heading 1"/>
    <w:basedOn w:val="Normal"/>
    <w:next w:val="Normal"/>
    <w:link w:val="Heading1Char"/>
    <w:uiPriority w:val="9"/>
    <w:qFormat/>
    <w:rsid w:val="00FC693F"/>
    <w:pPr>
      <w:keepNext/>
      <w:keepLines/>
      <w:spacing w:before="180" w:after="100" w:line="360" w:lineRule="exact"/>
      <w:ind w:firstLine="0"/>
      <w:outlineLvl w:val="0"/>
    </w:pPr>
    <w:rPr>
      <w:rFonts w:ascii="Times New Roman" w:hAnsi="Times New Roman" w:cs="Times New Roman" w:eastAsia="SimSu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360" w:lineRule="exact"/>
      <w:ind w:firstLine="0"/>
      <w:outlineLvl w:val="1"/>
    </w:pPr>
    <w:rPr>
      <w:rFonts w:ascii="Times New Roman" w:hAnsi="Times New Roman" w:cs="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SimSu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SimSu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SimSu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SimSu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SimSu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SimSu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SimSu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eastAsia="SimSu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SimSu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eastAsia="SimSu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SimSu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SimSun"/>
      <w:b/>
      <w:bCs/>
      <w:color w:val="000000"/>
    </w:rPr>
  </w:style>
  <w:style w:type="paragraph" w:styleId="Title">
    <w:name w:val="Title"/>
    <w:basedOn w:val="Normal"/>
    <w:next w:val="Normal"/>
    <w:link w:val="TitleChar"/>
    <w:uiPriority w:val="10"/>
    <w:qFormat/>
    <w:rsid w:val="00FC693F"/>
    <w:pPr>
      <w:spacing w:after="160" w:line="520" w:lineRule="exact" w:before="0"/>
      <w:ind w:firstLine="0"/>
      <w:contextualSpacing/>
    </w:pPr>
    <w:rPr>
      <w:rFonts w:ascii="Times New Roman" w:hAnsi="Times New Roman" w:cs="Times New Roman" w:eastAsia="SimSu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s="Times New Roman" w:eastAsia="SimSu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SimSu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SimSu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SimSu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eastAsia="SimSu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SimSu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eastAsia="SimSu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SimSu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SimSu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SimSu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SimSu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SimSu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SimSu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SimSu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SimSu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SimSu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SimSu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SimSu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SimSu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SimSu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SimSu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SimSu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SimSu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eastAsia="SimSu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eastAsia="SimSu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SimSu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SimSu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SimSu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SimSu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SimSu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SimSu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SimSun"/>
      <w:b/>
      <w:bCs/>
      <w:color w:val="000000"/>
      <w:sz w:val="18"/>
      <w:szCs w:val="18"/>
    </w:rPr>
  </w:style>
  <w:style w:type="character" w:styleId="Strong">
    <w:name w:val="Strong"/>
    <w:basedOn w:val="DefaultParagraphFont"/>
    <w:uiPriority w:val="22"/>
    <w:qFormat/>
    <w:rsid w:val="00FC693F"/>
    <w:rPr>
      <w:rFonts w:ascii="Times New Roman" w:hAnsi="Times New Roman" w:cs="Times New Roman" w:eastAsia="SimSun"/>
      <w:b/>
      <w:bCs/>
      <w:color w:val="000000"/>
    </w:rPr>
  </w:style>
  <w:style w:type="character" w:styleId="Emphasis">
    <w:name w:val="Emphasis"/>
    <w:basedOn w:val="DefaultParagraphFont"/>
    <w:uiPriority w:val="20"/>
    <w:qFormat/>
    <w:rsid w:val="00FC693F"/>
    <w:rPr>
      <w:rFonts w:ascii="Times New Roman" w:hAnsi="Times New Roman" w:cs="Times New Roman" w:eastAsia="SimSu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SimSu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SimSun"/>
      <w:b/>
      <w:bCs/>
      <w:i/>
      <w:iCs/>
      <w:color w:val="000000"/>
    </w:rPr>
  </w:style>
  <w:style w:type="character" w:styleId="SubtleEmphasis">
    <w:name w:val="Subtle Emphasis"/>
    <w:basedOn w:val="DefaultParagraphFont"/>
    <w:uiPriority w:val="19"/>
    <w:qFormat/>
    <w:rsid w:val="00FC693F"/>
    <w:rPr>
      <w:rFonts w:ascii="Times New Roman" w:hAnsi="Times New Roman" w:cs="Times New Roman" w:eastAsia="SimSun"/>
      <w:i/>
      <w:iCs/>
      <w:color w:val="000000"/>
    </w:rPr>
  </w:style>
  <w:style w:type="character" w:styleId="IntenseEmphasis">
    <w:name w:val="Intense Emphasis"/>
    <w:basedOn w:val="DefaultParagraphFont"/>
    <w:uiPriority w:val="21"/>
    <w:qFormat/>
    <w:rsid w:val="00FC693F"/>
    <w:rPr>
      <w:rFonts w:ascii="Times New Roman" w:hAnsi="Times New Roman" w:cs="Times New Roman" w:eastAsia="SimSun"/>
      <w:b/>
      <w:bCs/>
      <w:i/>
      <w:iCs/>
      <w:color w:val="000000"/>
    </w:rPr>
  </w:style>
  <w:style w:type="character" w:styleId="SubtleReference">
    <w:name w:val="Subtle Reference"/>
    <w:basedOn w:val="DefaultParagraphFont"/>
    <w:uiPriority w:val="31"/>
    <w:qFormat/>
    <w:rsid w:val="00FC693F"/>
    <w:rPr>
      <w:rFonts w:ascii="Times New Roman" w:hAnsi="Times New Roman" w:cs="Times New Roman" w:eastAsia="SimSu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eastAsia="SimSu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eastAsia="SimSu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SimSu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slearn.readthedocs.io/en/stable/user_guide/dtw.html" TargetMode="External"/><Relationship Id="rId10" Type="http://schemas.openxmlformats.org/officeDocument/2006/relationships/hyperlink" Target="https://proceedings.mlr.press/v70/cuturi17a.html" TargetMode="External"/><Relationship Id="rId11" Type="http://schemas.openxmlformats.org/officeDocument/2006/relationships/hyperlink" Target="https://arxiv.org/abs/2010.08354" TargetMode="External"/><Relationship Id="rId12" Type="http://schemas.openxmlformats.org/officeDocument/2006/relationships/hyperlink" Target="https://agupubs.onlinelibrary.wiley.com/doi/full/10.1002/2017JB014491" TargetMode="External"/><Relationship Id="rId13" Type="http://schemas.openxmlformats.org/officeDocument/2006/relationships/hyperlink" Target="https://www.annualreviews.org/content/journals/10.1146/annurev-fluid-010814-014736" TargetMode="External"/><Relationship Id="rId14" Type="http://schemas.openxmlformats.org/officeDocument/2006/relationships/hyperlink" Target="https://arxiv.org/abs/1603.02754" TargetMode="External"/><Relationship Id="rId15" Type="http://schemas.openxmlformats.org/officeDocument/2006/relationships/hyperlink" Target="https://scikit-learn.org/stable/modules/cross_validation.html" TargetMode="External"/><Relationship Id="rId16" Type="http://schemas.openxmlformats.org/officeDocument/2006/relationships/hyperlink" Target="https://arxiv.org/abs/1905.04610" TargetMode="External"/><Relationship Id="rId17" Type="http://schemas.openxmlformats.org/officeDocument/2006/relationships/hyperlink" Target="https://shap.readthedocs.io/en/latest/generated/shap.TreeExplainer.html" TargetMode="External"/><Relationship Id="rId18" Type="http://schemas.openxmlformats.org/officeDocument/2006/relationships/hyperlink" Target="https://onepetro.org/SJ/article/29/12/6962/581796/Poroelastic-Effects-in-Analysis-of-Pore-Pressure"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邻井压力时序聚类与压窜风险分类试验方案 V2</dc:title>
  <dc:subject>五步试验设计 多平台时序聚类 风险类型预测 微地震验证 SHAP 地质力学参数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