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2" w:type="dxa"/>
        <w:tblLayout w:type="fixed"/>
        <w:tblCellMar>
          <w:left w:w="0" w:type="dxa"/>
          <w:right w:w="0" w:type="dxa"/>
        </w:tblCellMar>
        <w:tblLook w:val="0000" w:firstRow="0" w:lastRow="0" w:firstColumn="0" w:lastColumn="0" w:noHBand="0" w:noVBand="0"/>
      </w:tblPr>
      <w:tblGrid>
        <w:gridCol w:w="9732"/>
      </w:tblGrid>
      <w:tr w:rsidR="0023090E" w14:paraId="34C8F9F7" w14:textId="77777777" w:rsidTr="009B78C1">
        <w:trPr/>
        <w:tc>
          <w:tcPr>
            <w:tcW w:w="9732" w:type="dxa"/>
          </w:tcPr>
          <w:p w14:paraId="0807D0B1" w14:textId="75C5CD3E" w:rsidR="0023090E" w:rsidRPr="008E45F7" w:rsidRDefault="008E45F7" w:rsidP="00960BF3">
            <w:pPr>
              <w:rPr>
                <w:sz w:val="28"/>
              </w:rPr>
            </w:pPr>
            <w:r>
              <w:rPr>
                <w:sz w:val="28"/>
              </w:rPr>
              <w:t>An Interpretable Machine-Learning Framework for Pressure-Response Pattern Recognition and Frac-Hit Prediction in Deep Shale Gas Reservoirs</w:t>
            </w:r>
          </w:p>
          <w:p>
            <w:pPr>
              <w:spacing w:before="0" w:after="0"/>
              <w:jc w:val="left"/>
            </w:pPr>
            <w:r>
              <w:rPr>
                <w:rFonts w:ascii="Times New Roman" w:hAnsi="Times New Roman"/>
                <w:b/>
                <w:i/>
                <w:sz w:val="18"/>
              </w:rPr>
              <w:t>Zhao Cheng, Wendong Wang*, Yuxuan Deng, Wubin Yan &amp; Yuliang Su</w:t>
            </w:r>
          </w:p>
          <w:p>
            <w:pPr>
              <w:spacing w:before="0" w:after="0"/>
              <w:jc w:val="left"/>
            </w:pPr>
            <w:r>
              <w:rPr>
                <w:rFonts w:ascii="Times New Roman" w:hAnsi="Times New Roman"/>
                <w:b w:val="0"/>
                <w:i w:val="0"/>
                <w:sz w:val="18"/>
              </w:rPr>
              <w:t>State Key Laboratory of Deep Oil and Gas, China University of Petroleum (East China), Qingdao, Shandong 266580, China</w:t>
            </w:r>
          </w:p>
          <w:p>
            <w:pPr>
              <w:spacing w:before="0" w:after="0"/>
              <w:jc w:val="left"/>
            </w:pPr>
            <w:r>
              <w:rPr>
                <w:rFonts w:ascii="Times New Roman" w:hAnsi="Times New Roman"/>
                <w:b w:val="0"/>
                <w:i w:val="0"/>
                <w:sz w:val="18"/>
              </w:rPr>
            </w:r>
          </w:p>
          <w:p>
            <w:pPr>
              <w:spacing w:before="0" w:after="0"/>
              <w:jc w:val="left"/>
            </w:pPr>
            <w:r>
              <w:rPr>
                <w:rFonts w:ascii="Times New Roman" w:hAnsi="Times New Roman"/>
                <w:b/>
                <w:i/>
                <w:sz w:val="18"/>
              </w:rPr>
              <w:t>Wenfeng Yu</w:t>
            </w:r>
          </w:p>
          <w:p>
            <w:pPr>
              <w:spacing w:before="0" w:after="0"/>
              <w:jc w:val="left"/>
            </w:pPr>
            <w:r>
              <w:rPr>
                <w:rFonts w:ascii="Times New Roman" w:hAnsi="Times New Roman"/>
                <w:b w:val="0"/>
                <w:i w:val="0"/>
                <w:sz w:val="18"/>
              </w:rPr>
              <w:t>Shale Gas Research Institute, PetroChina Southwest Oil &amp; Gasfield Company, Chengdu 610051, China</w:t>
            </w:r>
          </w:p>
          <w:p>
            <w:pPr>
              <w:spacing w:before="0" w:after="0"/>
              <w:jc w:val="left"/>
            </w:pPr>
            <w:r>
              <w:rPr>
                <w:rFonts w:ascii="Times New Roman" w:hAnsi="Times New Roman"/>
                <w:b w:val="0"/>
                <w:i w:val="0"/>
                <w:sz w:val="18"/>
              </w:rPr>
              <w:t>Sichuan Key Laboratory of Shale Gas Evaluation and Exploitation, Chengdu 610213, China</w:t>
            </w:r>
          </w:p>
          <w:p>
            <w:pPr>
              <w:spacing w:before="0" w:after="0"/>
              <w:jc w:val="left"/>
            </w:pPr>
            <w:r>
              <w:rPr>
                <w:rFonts w:ascii="Times New Roman" w:hAnsi="Times New Roman"/>
                <w:b w:val="0"/>
                <w:i w:val="0"/>
                <w:sz w:val="18"/>
              </w:rPr>
            </w:r>
          </w:p>
          <w:p>
            <w:pPr>
              <w:spacing w:before="0" w:after="0"/>
              <w:jc w:val="left"/>
            </w:pPr>
            <w:r>
              <w:rPr>
                <w:rFonts w:ascii="Times New Roman" w:hAnsi="Times New Roman"/>
                <w:b w:val="0"/>
                <w:i w:val="0"/>
                <w:sz w:val="18"/>
              </w:rPr>
              <w:t>*corresponding author: wwdong@upc.edu.cn</w:t>
            </w:r>
          </w:p>
        </w:tc>
      </w:tr>
    </w:tbl>
    <w:p w14:paraId="1D2A3B1F" w14:textId="55539A61" w:rsidR="00D63C89" w:rsidRPr="00243A6E" w:rsidRDefault="00960BF3" w:rsidP="00B25BA1">
      <w:pPr>
        <w:rPr>
          <w:b/>
          <w:color w:val="000000" w:themeColor="text1"/>
          <w:sz w:val="22"/>
          <w:szCs w:val="18"/>
          <w:lang w:val="nl-NL"/>
        </w:rPr>
      </w:pPr>
      <w:r>
        <w:rPr>
          <w:rFonts w:eastAsia="Times New Roman"/>
          <w:b/>
          <w:sz w:val="22"/>
        </w:rPr>
        <w:t>Introduction</w:t>
      </w:r>
    </w:p>
    <w:p w14:paraId="0BFF1E9B" w14:textId="37C1FDE8" w:rsidR="000C4C9C" w:rsidRDefault="000C4C9C" w:rsidP="00243A6E">
      <w:pPr>
        <w:pStyle w:val="a3"/>
        <w:jc w:val="both"/>
        <w:rPr>
          <w:color w:val="000000" w:themeColor="text1"/>
          <w:sz w:val="18"/>
          <w:szCs w:val="18"/>
        </w:rPr>
      </w:pPr>
      <w:r>
        <w:rPr>
          <w:sz w:val="18"/>
        </w:rPr>
        <w:t>Deep shale gas reservoirs are characterized by large burial depth, high in-situ stress, pronounced stress anisotropy, and locally developed natural fractures. These geological and geomechanical conditions strongly influence hydraulic-fracture growth, pressure-perturbation transmission, and the activation of natural-fracture networks during multi-well pad stimulation. In such settings, frac-hits may induce abnormal pressure increases in offset wells, interfere with stage-by-stage stimulation, and increase the uncertainty of subsequent fracturing design. Offset-well pressure monitoring provides direct field evidence of interwell pressure interference; however, the recorded responses are commonly transient, multi-patterned, and nonlinear, making it difficult to characterize frac-hit severity and mechanisms using a single pressure-increase threshold. Traditional frac-hit diagnosis commonly relies on offset-well pressure increases, field observations, or single-threshold criteria. Although these approaches are intuitive and convenient for field implementation, they cannot adequately describe the dynamic evolution of pressure responses, such as response delay, buildup rate, disturbance duration, and post-fracturing pressure dissipation. Recent data-driven studies have attempted to integrate geological and engineering factors, but the linkage among pressure-response patterns, natural-fracture-controlled pathways, and predictive interpretation remains insufficient. This study develops an interpretable machine-learning framework that integrates offset-well pressure responses, fracturing-treatment curves, predicted natural-fracture distribution, and geological-engineering parameters to identify representative pressure-response patterns, classify frac-hit severity, predict frac-hit risk, and interpret the controlling mechanisms in deep shale gas development.</w:t>
      </w:r>
    </w:p>
    <w:p w14:paraId="27B32366" w14:textId="0B698584" w:rsidR="0004285F" w:rsidRPr="00243A6E" w:rsidRDefault="00960BF3" w:rsidP="00B25BA1">
      <w:pPr>
        <w:rPr>
          <w:b/>
          <w:color w:val="000000" w:themeColor="text1"/>
          <w:sz w:val="22"/>
          <w:szCs w:val="18"/>
          <w:lang w:val="nl-NL"/>
        </w:rPr>
      </w:pPr>
      <w:r>
        <w:rPr>
          <w:rFonts w:eastAsia="Times New Roman"/>
          <w:b/>
          <w:sz w:val="22"/>
        </w:rPr>
        <w:t>Methodology</w:t>
      </w:r>
    </w:p>
    <w:p w14:paraId="598D1AE9" w14:textId="1C04883A" w:rsidR="000C4C9C" w:rsidRDefault="000C4C9C" w:rsidP="006F453F">
      <w:pPr>
        <w:jc w:val="both"/>
        <w:rPr>
          <w:color w:val="000000" w:themeColor="text1"/>
          <w:sz w:val="18"/>
          <w:szCs w:val="18"/>
        </w:rPr>
      </w:pPr>
      <w:r>
        <w:rPr>
          <w:sz w:val="18"/>
        </w:rPr>
        <w:t>The proposed interpretable machine-learning framework consists of four steps: stage-scale data synchronization, representative feature construction, hierarchical-clustering-based pressure-response pattern recognition, and XGBoost-SHAP-based frac-hit prediction. First, offset-well pressure data and fracturing-treatment curves were synchronized at the stage scale, with each active fracturing stage and its corresponding offset-well pressure response treated as one analytical sample. For data preprocessing, isolated spikes and sensor-related anomalies were removed using a Hampel filter, and Savitzky-Golay smoothing was applied to suppress high-frequency noise while preserving the main response morphology. Second, four groups of representative features were constructed, including pressure-response, treatment-intensity, interwell-spatial, and geomechanical/natural-fracture features. Only core indicators were retained for model development, including maximum pressure increase, response delay, fluid volume, well spacing, stress contrast, natural-fracture density, and the approach angle between the hydraulic fracture and the natural fracture. The predicted natural-fracture map was further processed using image-recognition and geometric extraction methods to derive natural-fracture descriptors that can be matched with stage-level pressure responses. Third, agglomerative hierarchical clustering with Ward linkage was used to identify representative pressure-response patterns, and frac-hit severity was classified by jointly considering pressure increase, response rate, response duration, and cumulative pressure disturbance. Finally, an XGBoost model combined with SHAP analysis was established to predict frac-hit risk and quantify the contribution of key geological, engineering, and natural-fracture-related factors to different response modes.</w:t>
      </w:r>
    </w:p>
    <w:p w14:paraId="32B99474" w14:textId="11AFE903" w:rsidR="00B25BA1" w:rsidRPr="00243A6E" w:rsidRDefault="00960BF3" w:rsidP="00B25BA1">
      <w:pPr>
        <w:rPr>
          <w:b/>
          <w:color w:val="000000" w:themeColor="text1"/>
          <w:sz w:val="22"/>
          <w:szCs w:val="18"/>
          <w:lang w:val="nl-NL"/>
        </w:rPr>
      </w:pPr>
      <w:r>
        <w:rPr>
          <w:rFonts w:eastAsia="Times New Roman"/>
          <w:b/>
          <w:sz w:val="22"/>
        </w:rPr>
        <w:t>Results and Conclusions</w:t>
      </w:r>
    </w:p>
    <w:p w14:paraId="402DCC26" w14:textId="52396EA4" w:rsidR="00B25BA1" w:rsidRDefault="000C4C9C" w:rsidP="000C4C9C">
      <w:pPr>
        <w:jc w:val="both"/>
        <w:rPr>
          <w:color w:val="000000" w:themeColor="text1"/>
          <w:sz w:val="18"/>
          <w:szCs w:val="18"/>
        </w:rPr>
      </w:pPr>
      <w:r>
        <w:rPr>
          <w:sz w:val="18"/>
        </w:rPr>
        <w:t>Preliminary analysis indicates that offset-well pressure responses in deep shale gas reservoirs should not be simplified into binary frac-hit occurrence or non-occurrence. Four representative response patterns can be identified: rapid-transient response, sustained pressure buildup, delayed gradual response, and weak response. Rapid-transient responses, characterized by short response delay and high buildup rate, suggest possible direct hydraulic-fracture interaction or highly conductive pressure-transmission pathways. Sustained pressure buildup with slow dissipation may indicate activation of connected natural-fracture networks and continuous pressure transmission. Delayed gradual responses are more likely related to pressure diffusion through weakly connected fracture systems, whereas weak responses indicate limited hydraulic connection or local geological/stress barriers between wells. The integrated analysis suggests that frac-hit patterns and risks are jointly controlled by treatment intensity, well spacing, stress contrast, and natural-fracture connectivity, especially the spatial relationship between hydraulic fractures and natural fractures. By integrating hierarchical clustering for pattern recognition with XGBoost-SHAP for interpretable prediction, the proposed framework provides a practical workflow for frac-hit diagnosis, stage-level risk evaluation, and fracturing design optimization in deep shale gas multi-well development.</w:t>
      </w:r>
    </w:p>
    <w:p w14:paraId="17BB2F74" w14:textId="77777777" w:rsidR="000C4C9C" w:rsidRPr="00243A6E" w:rsidRDefault="000C4C9C" w:rsidP="000C4C9C">
      <w:pPr>
        <w:jc w:val="both"/>
        <w:rPr>
          <w:color w:val="000000" w:themeColor="text1"/>
          <w:sz w:val="18"/>
          <w:szCs w:val="18"/>
        </w:rPr>
      </w:pPr>
    </w:p>
    <w:tbl>
      <w:tblPr>
        <w:tblW w:w="9696" w:type="dxa"/>
        <w:tblLayout w:type="fixed"/>
        <w:tblCellMar>
          <w:left w:w="0" w:type="dxa"/>
          <w:right w:w="0" w:type="dxa"/>
        </w:tblCellMar>
        <w:tblLook w:val="0000" w:firstRow="0" w:lastRow="0" w:firstColumn="0" w:lastColumn="0" w:noHBand="0" w:noVBand="0"/>
      </w:tblPr>
      <w:tblGrid>
        <w:gridCol w:w="9696"/>
      </w:tblGrid>
      <w:tr w:rsidR="00B25BA1" w:rsidRPr="00243A6E" w14:paraId="2AF4777C" w14:textId="77777777" w:rsidTr="005646D2">
        <w:tc>
          <w:tcPr>
            <w:tcW w:w="9696" w:type="dxa"/>
          </w:tcPr>
          <w:p w14:paraId="1AD6B7FA" w14:textId="668D19C7" w:rsidR="000C4C9C" w:rsidRPr="00950D9F" w:rsidRDefault="00B25BA1" w:rsidP="005646D2">
            <w:pPr>
              <w:rPr>
                <w:color w:val="000000" w:themeColor="text1"/>
                <w:sz w:val="18"/>
                <w:szCs w:val="18"/>
                <w:lang w:val="en-US"/>
              </w:rPr>
            </w:pPr>
            <w:r>
              <w:rPr>
                <w:sz w:val="18"/>
              </w:rPr>
              <w:t>KEYWORDS: Deep Shale Gas, Frac-Hits, Offset-Well Pressure Monitoring, Interwell Pressure Interference, Hierarchical Clustering, XGBoost-SHAP, Machine Learning.</w:t>
            </w:r>
          </w:p>
          <w:p w14:paraId="1754CACA" w14:textId="77777777" w:rsidR="000C4C9C" w:rsidRPr="000C4C9C" w:rsidRDefault="000C4C9C" w:rsidP="005646D2">
            <w:pPr>
              <w:rPr>
                <w:color w:val="000000" w:themeColor="text1"/>
                <w:sz w:val="18"/>
                <w:szCs w:val="18"/>
                <w:lang w:val="fr-FR"/>
              </w:rPr>
            </w:pPr>
          </w:p>
        </w:tc>
      </w:tr>
    </w:tbl>
    <w:p w14:paraId="7F988A30" w14:textId="77777777" w:rsidR="00B25BA1" w:rsidRPr="00960BF3" w:rsidRDefault="00B25BA1" w:rsidP="00CF3DA4">
      <w:pPr>
        <w:rPr>
          <w:sz w:val="18"/>
          <w:szCs w:val="18"/>
        </w:rPr>
        <w:sectPr w:rsidR="00B25BA1" w:rsidRPr="00960BF3" w:rsidSect="00CF3DA4">
          <w:headerReference w:type="default" r:id="rId7"/>
          <w:footerReference w:type="even" r:id="rId8"/>
          <w:footerReference w:type="default" r:id="rId9"/>
          <w:type w:val="continuous"/>
          <w:pgSz w:w="11907" w:h="16840" w:code="9"/>
          <w:pgMar w:top="907" w:right="1106" w:bottom="1644" w:left="1106" w:header="680" w:footer="567" w:gutter="0"/>
          <w:cols w:space="397"/>
          <w:formProt w:val="0"/>
          <w:noEndnote/>
        </w:sectPr>
      </w:pPr>
    </w:p>
    <w:p w14:paraId="19FA51D8" w14:textId="77777777" w:rsidR="00682A27" w:rsidRPr="00960BF3" w:rsidRDefault="00682A27" w:rsidP="00CF3DA4">
      <w:pPr>
        <w:rPr>
          <w:b/>
          <w:sz w:val="18"/>
          <w:szCs w:val="18"/>
        </w:rPr>
      </w:pPr>
    </w:p>
    <w:sectPr w:rsidR="00682A27" w:rsidRPr="00960BF3" w:rsidSect="00CF3DA4">
      <w:type w:val="continuous"/>
      <w:pgSz w:w="11907" w:h="16840" w:code="9"/>
      <w:pgMar w:top="907" w:right="1106" w:bottom="1644" w:left="1106" w:header="680" w:footer="567" w:gutter="0"/>
      <w:cols w:space="397"/>
      <w:formProt w:val="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0E56" w14:textId="77777777" w:rsidR="00B8430A" w:rsidRDefault="00B8430A">
      <w:r>
        <w:separator/>
      </w:r>
    </w:p>
  </w:endnote>
  <w:endnote w:type="continuationSeparator" w:id="0">
    <w:p w14:paraId="568419B3" w14:textId="77777777" w:rsidR="00B8430A" w:rsidRDefault="00B84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EBD5903-6810-E045-A267-AF435F66850D}"/>
    <w:embedBold r:id="rId2" w:fontKey="{ECF65251-A77F-D645-AF3B-5FA78CE7A84E}"/>
    <w:embedItalic r:id="rId3" w:fontKey="{B858B690-18AB-FA4D-B652-FC713DD13DF3}"/>
    <w:embedBoldItalic r:id="rId4" w:fontKey="{133CD1F0-C7BF-AE43-AD34-9E37B7D6F408}"/>
  </w:font>
  <w:font w:name="Symbol">
    <w:panose1 w:val="05050102010706020507"/>
    <w:charset w:val="02"/>
    <w:family w:val="decorative"/>
    <w:pitch w:val="variable"/>
    <w:sig w:usb0="00000000" w:usb1="10000000" w:usb2="00000000" w:usb3="00000000" w:csb0="80000000" w:csb1="00000000"/>
    <w:embedRegular r:id="rId5" w:fontKey="{921BD7B0-CE01-8D4F-8A66-AEBA8D18BDB0}"/>
  </w:font>
  <w:font w:name="Courier New">
    <w:panose1 w:val="02070309020205020404"/>
    <w:charset w:val="00"/>
    <w:family w:val="modern"/>
    <w:pitch w:val="fixed"/>
    <w:sig w:usb0="E0002EFF" w:usb1="C0007843" w:usb2="00000009" w:usb3="00000000" w:csb0="000001FF" w:csb1="00000000"/>
    <w:embedRegular r:id="rId6" w:fontKey="{F673B4AC-BB83-D242-BF05-5C1410E98936}"/>
  </w:font>
  <w:font w:name="Wingdings">
    <w:panose1 w:val="05000000000000000000"/>
    <w:charset w:val="00"/>
    <w:family w:val="decorative"/>
    <w:pitch w:val="variable"/>
    <w:sig w:usb0="00000003" w:usb1="00000000" w:usb2="00000000" w:usb3="00000000" w:csb0="80000001" w:csb1="00000000"/>
    <w:embedRegular r:id="rId7" w:fontKey="{DB43553D-916D-4847-9DB9-60DC115EC873}"/>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8" w:fontKey="{BD362BE4-5C39-6E4E-9014-6164F66A6C97}"/>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9" w:fontKey="{D2B48842-4CA2-BC42-9FAB-D72DFD027A80}"/>
  </w:font>
  <w:font w:name="Calibri">
    <w:panose1 w:val="020F0502020204030204"/>
    <w:charset w:val="00"/>
    <w:family w:val="swiss"/>
    <w:pitch w:val="variable"/>
    <w:sig w:usb0="E4002EFF" w:usb1="C200247B" w:usb2="00000009" w:usb3="00000000" w:csb0="000001FF" w:csb1="00000000"/>
    <w:embedRegular r:id="rId10" w:fontKey="{A69D7E43-669B-AA42-AB16-B7FBABD52989}"/>
  </w:font>
  <w:font w:name="Arial">
    <w:panose1 w:val="020B0604020202020204"/>
    <w:charset w:val="00"/>
    <w:family w:val="swiss"/>
    <w:pitch w:val="variable"/>
    <w:sig w:usb0="E0002EFF" w:usb1="C000785B" w:usb2="00000009" w:usb3="00000000" w:csb0="000001FF" w:csb1="00000000"/>
    <w:embedRegular r:id="rId11" w:fontKey="{B6E8E5CD-9A06-794E-AA40-78D1682B1E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F509" w14:textId="77777777" w:rsidR="00443831" w:rsidRDefault="00443831">
    <w:r>
      <w:fldChar w:fldCharType="begin"/>
    </w:r>
    <w:r>
      <w:instrText xml:space="preserve"> PAGE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0AC7E" w14:textId="3DD53EFD" w:rsidR="00515FDC" w:rsidRPr="00515FDC" w:rsidRDefault="00515FDC" w:rsidP="00515FDC">
    <w:pPr>
      <w:pStyle w:val="a5"/>
      <w:rPr>
        <w:lang w:val="en-US"/>
      </w:rPr>
    </w:pPr>
    <w:r w:rsidRPr="00515FDC">
      <w:rPr>
        <w:noProof/>
        <w:lang w:val="en-US"/>
      </w:rPr>
      <w:drawing>
        <wp:anchor distT="0" distB="0" distL="114300" distR="114300" simplePos="0" relativeHeight="251659264" behindDoc="0" locked="0" layoutInCell="1" allowOverlap="1" wp14:anchorId="5CBF7B0E" wp14:editId="2DD5E15A">
          <wp:simplePos x="0" y="0"/>
          <wp:positionH relativeFrom="margin">
            <wp:align>center</wp:align>
          </wp:positionH>
          <wp:positionV relativeFrom="paragraph">
            <wp:posOffset>-400685</wp:posOffset>
          </wp:positionV>
          <wp:extent cx="6694256" cy="853440"/>
          <wp:effectExtent l="0" t="0" r="0" b="0"/>
          <wp:wrapNone/>
          <wp:docPr id="1476645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
                    <a:extLst>
                      <a:ext uri="{28A0092B-C50C-407E-A947-70E740481C1C}">
                        <a14:useLocalDpi xmlns:a14="http://schemas.microsoft.com/office/drawing/2010/main" val="0"/>
                      </a:ext>
                    </a:extLst>
                  </a:blip>
                  <a:srcRect t="38598" b="10433"/>
                  <a:stretch>
                    <a:fillRect/>
                  </a:stretch>
                </pic:blipFill>
                <pic:spPr bwMode="auto">
                  <a:xfrm>
                    <a:off x="0" y="0"/>
                    <a:ext cx="6694256" cy="853440"/>
                  </a:xfrm>
                  <a:prstGeom prst="rect">
                    <a:avLst/>
                  </a:prstGeom>
                  <a:noFill/>
                  <a:ln>
                    <a:noFill/>
                  </a:ln>
                  <a:extLst>
                    <a:ext uri="{53640926-AAD7-44D8-BBD7-CCE9431645EC}">
                      <a14:shadowObscured xmlns:a14="http://schemas.microsoft.com/office/drawing/2010/main"/>
                    </a:ext>
                  </a:extLst>
                </pic:spPr>
              </pic:pic>
            </a:graphicData>
          </a:graphic>
        </wp:anchor>
      </w:drawing>
    </w:r>
  </w:p>
  <w:p w14:paraId="405C71BA" w14:textId="5F9A4EFE" w:rsidR="00881BC8" w:rsidRDefault="00881BC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6496A" w14:textId="77777777" w:rsidR="00B8430A" w:rsidRDefault="00B8430A">
      <w:r>
        <w:separator/>
      </w:r>
    </w:p>
  </w:footnote>
  <w:footnote w:type="continuationSeparator" w:id="0">
    <w:p w14:paraId="5B570111" w14:textId="77777777" w:rsidR="00B8430A" w:rsidRDefault="00B84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3CAC7" w14:textId="0B2D47F3" w:rsidR="00317F8D" w:rsidRDefault="00BE003D" w:rsidP="00BE003D">
    <w:pPr>
      <w:rPr>
        <w:sz w:val="32"/>
        <w:szCs w:val="32"/>
        <w:lang w:val="fr-FR"/>
      </w:rPr>
    </w:pPr>
    <w:bookmarkStart w:id="0" w:name="_Hlk515281109"/>
    <w:bookmarkStart w:id="1" w:name="_Hlk515281110"/>
    <w:bookmarkStart w:id="2" w:name="_Hlk515281111"/>
    <w:r w:rsidRPr="00BE003D">
      <w:rPr>
        <w:noProof/>
        <w:sz w:val="32"/>
        <w:szCs w:val="32"/>
        <w:lang w:val="en-US"/>
      </w:rPr>
      <w:drawing>
        <wp:anchor distT="0" distB="0" distL="114300" distR="114300" simplePos="0" relativeHeight="251658240" behindDoc="1" locked="0" layoutInCell="1" allowOverlap="1" wp14:anchorId="632DF843" wp14:editId="598E6B98">
          <wp:simplePos x="0" y="0"/>
          <wp:positionH relativeFrom="column">
            <wp:posOffset>2284095</wp:posOffset>
          </wp:positionH>
          <wp:positionV relativeFrom="paragraph">
            <wp:posOffset>-203200</wp:posOffset>
          </wp:positionV>
          <wp:extent cx="1442085" cy="632460"/>
          <wp:effectExtent l="0" t="0" r="5715" b="0"/>
          <wp:wrapTight wrapText="bothSides">
            <wp:wrapPolygon edited="0">
              <wp:start x="2568" y="0"/>
              <wp:lineTo x="0" y="9108"/>
              <wp:lineTo x="0" y="18217"/>
              <wp:lineTo x="1712" y="20819"/>
              <wp:lineTo x="4280" y="20819"/>
              <wp:lineTo x="15694" y="20819"/>
              <wp:lineTo x="21115" y="17566"/>
              <wp:lineTo x="21400" y="6506"/>
              <wp:lineTo x="19974" y="5205"/>
              <wp:lineTo x="3995" y="0"/>
              <wp:lineTo x="2568" y="0"/>
            </wp:wrapPolygon>
          </wp:wrapTight>
          <wp:docPr id="140997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2085" cy="632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FF9CB" w14:textId="0AA14FDE" w:rsidR="00370B65" w:rsidRPr="00BE003D" w:rsidRDefault="00370B65" w:rsidP="00BE003D">
    <w:pPr>
      <w:jc w:val="center"/>
      <w:rPr>
        <w:sz w:val="32"/>
        <w:szCs w:val="32"/>
        <w:lang w:val="en-US"/>
      </w:rPr>
    </w:pPr>
    <w:r w:rsidRPr="001867BC">
      <w:rPr>
        <w:sz w:val="32"/>
        <w:szCs w:val="32"/>
        <w:lang w:val="fr-FR"/>
      </w:rPr>
      <w:t xml:space="preserve"> </w:t>
    </w:r>
    <w:bookmarkEnd w:id="0"/>
    <w:bookmarkEnd w:id="1"/>
    <w:bookmarkEnd w:id="2"/>
  </w:p>
  <w:p w14:paraId="72FEC3E0" w14:textId="3692A3E9" w:rsidR="008B7454" w:rsidRDefault="008B7454" w:rsidP="00960BF3">
    <w:pPr>
      <w:jc w:val="center"/>
      <w:rPr>
        <w:i/>
        <w:sz w:val="18"/>
        <w:lang w:val="fr-FR"/>
      </w:rPr>
    </w:pPr>
  </w:p>
  <w:p w14:paraId="22D3051B" w14:textId="5A9BED36" w:rsidR="00AE2DDE" w:rsidRPr="00CF7103" w:rsidRDefault="00AE2DDE" w:rsidP="00090FC8">
    <w:pPr>
      <w:jc w:val="center"/>
      <w:rPr>
        <w:i/>
        <w:sz w:val="18"/>
        <w:lang w:val="fr-FR"/>
      </w:rPr>
    </w:pPr>
    <w:r w:rsidRPr="00CF7103">
      <w:rPr>
        <w:i/>
        <w:sz w:val="18"/>
        <w:lang w:val="fr-FR"/>
      </w:rPr>
      <w:t>202</w:t>
    </w:r>
    <w:r w:rsidR="005019AC">
      <w:rPr>
        <w:i/>
        <w:sz w:val="18"/>
        <w:lang w:val="fr-FR"/>
      </w:rPr>
      <w:t>6</w:t>
    </w:r>
    <w:r w:rsidRPr="00CF7103">
      <w:rPr>
        <w:i/>
        <w:sz w:val="18"/>
        <w:lang w:val="fr-FR"/>
      </w:rPr>
      <w:t xml:space="preserve"> </w:t>
    </w:r>
    <w:r w:rsidR="00090FC8" w:rsidRPr="00CF7103">
      <w:rPr>
        <w:i/>
        <w:sz w:val="18"/>
        <w:lang w:val="fr-FR"/>
      </w:rPr>
      <w:t xml:space="preserve">International Geomechanics </w:t>
    </w:r>
    <w:r w:rsidR="00AB728D">
      <w:rPr>
        <w:i/>
        <w:sz w:val="18"/>
        <w:lang w:val="fr-FR"/>
      </w:rPr>
      <w:t>Conference</w:t>
    </w:r>
    <w:r w:rsidR="007A0B6B">
      <w:rPr>
        <w:i/>
        <w:sz w:val="18"/>
        <w:lang w:val="fr-FR"/>
      </w:rPr>
      <w:t xml:space="preserve"> (IGS)</w:t>
    </w:r>
  </w:p>
  <w:p w14:paraId="1DCC8B96" w14:textId="35F5693C" w:rsidR="00090FC8" w:rsidRPr="00090FC8" w:rsidRDefault="00090FC8" w:rsidP="00090FC8">
    <w:pPr>
      <w:jc w:val="center"/>
      <w:rPr>
        <w:i/>
        <w:sz w:val="18"/>
        <w:lang w:val="fr-FR"/>
      </w:rPr>
    </w:pPr>
    <w:r w:rsidRPr="00090FC8">
      <w:rPr>
        <w:i/>
        <w:sz w:val="18"/>
        <w:lang w:val="fr-FR"/>
      </w:rPr>
      <w:t xml:space="preserve"> </w:t>
    </w:r>
  </w:p>
  <w:p w14:paraId="32A6EFA5" w14:textId="6344F1F5" w:rsidR="00090FC8" w:rsidRPr="001867BC" w:rsidRDefault="005019AC" w:rsidP="005019AC">
    <w:pPr>
      <w:jc w:val="center"/>
      <w:rPr>
        <w:i/>
        <w:sz w:val="18"/>
      </w:rPr>
    </w:pPr>
    <w:r w:rsidRPr="005019AC">
      <w:rPr>
        <w:b/>
        <w:bCs/>
        <w:i/>
        <w:sz w:val="18"/>
      </w:rPr>
      <w:t>Geomechanics: Innovations and Solutions for Energy, Environment, and Deep Space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A3679FE"/>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870C5BA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EE2CAFA4"/>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E35CCD8C"/>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454"/>
        </w:tabs>
        <w:ind w:left="454" w:hanging="454"/>
      </w:pPr>
      <w:rPr>
        <w:rFonts w:ascii="Times New Roman" w:hAnsi="Times New Roman" w:hint="default"/>
        <w:b w:val="0"/>
        <w:i w:val="0"/>
        <w:sz w:val="18"/>
        <w:szCs w:val="18"/>
      </w:rPr>
    </w:lvl>
    <w:lvl w:ilvl="2">
      <w:start w:val="1"/>
      <w:numFmt w:val="decimal"/>
      <w:lvlText w:val="%1.%2.%3"/>
      <w:lvlJc w:val="left"/>
      <w:pPr>
        <w:tabs>
          <w:tab w:val="num" w:pos="624"/>
        </w:tabs>
        <w:ind w:left="624" w:hanging="624"/>
      </w:pPr>
      <w:rPr>
        <w:rFonts w:ascii="Times New Roman" w:hAnsi="Times New Roman" w:hint="default"/>
        <w:b w:val="0"/>
        <w:i w:val="0"/>
        <w:sz w:val="18"/>
        <w:szCs w:val="18"/>
      </w:rPr>
    </w:lvl>
    <w:lvl w:ilvl="3">
      <w:start w:val="1"/>
      <w:numFmt w:val="none"/>
      <w:lvlText w:val="NOT TO BE USED"/>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4" w15:restartNumberingAfterBreak="0">
    <w:nsid w:val="04F425C9"/>
    <w:multiLevelType w:val="singleLevel"/>
    <w:tmpl w:val="7884BC58"/>
    <w:lvl w:ilvl="0">
      <w:start w:val="1"/>
      <w:numFmt w:val="bullet"/>
      <w:lvlText w:val=""/>
      <w:lvlJc w:val="left"/>
      <w:pPr>
        <w:tabs>
          <w:tab w:val="num" w:pos="360"/>
        </w:tabs>
        <w:ind w:left="283" w:hanging="283"/>
      </w:pPr>
      <w:rPr>
        <w:rFonts w:ascii="Symbol" w:hAnsi="Symbol" w:hint="default"/>
      </w:rPr>
    </w:lvl>
  </w:abstractNum>
  <w:abstractNum w:abstractNumId="5" w15:restartNumberingAfterBreak="0">
    <w:nsid w:val="080140EF"/>
    <w:multiLevelType w:val="multilevel"/>
    <w:tmpl w:val="59CC3DAE"/>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0"/>
        </w:tabs>
        <w:ind w:left="0" w:firstLine="0"/>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6" w15:restartNumberingAfterBreak="0">
    <w:nsid w:val="0BAD2E84"/>
    <w:multiLevelType w:val="multilevel"/>
    <w:tmpl w:val="CC240806"/>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284"/>
        </w:tabs>
        <w:ind w:left="284" w:hanging="284"/>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7" w15:restartNumberingAfterBreak="0">
    <w:nsid w:val="0BAE4BF2"/>
    <w:multiLevelType w:val="multilevel"/>
    <w:tmpl w:val="CCC09BB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0C4C78C8"/>
    <w:multiLevelType w:val="multilevel"/>
    <w:tmpl w:val="828802F4"/>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31680"/>
        </w:tabs>
        <w:ind w:left="-32767" w:firstLine="32767"/>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9" w15:restartNumberingAfterBreak="0">
    <w:nsid w:val="0CA12764"/>
    <w:multiLevelType w:val="multilevel"/>
    <w:tmpl w:val="7F2AEF3A"/>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454"/>
        </w:tabs>
        <w:ind w:left="454" w:hanging="454"/>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0" w15:restartNumberingAfterBreak="0">
    <w:nsid w:val="0FE20F32"/>
    <w:multiLevelType w:val="singleLevel"/>
    <w:tmpl w:val="9F760F60"/>
    <w:lvl w:ilvl="0">
      <w:start w:val="1"/>
      <w:numFmt w:val="decimal"/>
      <w:lvlText w:val="%1"/>
      <w:legacy w:legacy="1" w:legacySpace="0" w:legacyIndent="283"/>
      <w:lvlJc w:val="left"/>
      <w:pPr>
        <w:ind w:left="283" w:hanging="283"/>
      </w:pPr>
      <w:rPr>
        <w:rFonts w:ascii="Times New Roman" w:hAnsi="Times New Roman" w:hint="default"/>
        <w:b w:val="0"/>
        <w:i w:val="0"/>
        <w:sz w:val="24"/>
      </w:rPr>
    </w:lvl>
  </w:abstractNum>
  <w:abstractNum w:abstractNumId="11" w15:restartNumberingAfterBreak="0">
    <w:nsid w:val="13043344"/>
    <w:multiLevelType w:val="singleLevel"/>
    <w:tmpl w:val="9F760F60"/>
    <w:lvl w:ilvl="0">
      <w:start w:val="1"/>
      <w:numFmt w:val="decimal"/>
      <w:lvlText w:val="%1"/>
      <w:legacy w:legacy="1" w:legacySpace="0" w:legacyIndent="283"/>
      <w:lvlJc w:val="left"/>
      <w:pPr>
        <w:ind w:left="283" w:hanging="283"/>
      </w:pPr>
      <w:rPr>
        <w:rFonts w:ascii="Times New Roman" w:hAnsi="Times New Roman" w:hint="default"/>
        <w:b w:val="0"/>
        <w:i w:val="0"/>
        <w:sz w:val="24"/>
      </w:rPr>
    </w:lvl>
  </w:abstractNum>
  <w:abstractNum w:abstractNumId="12" w15:restartNumberingAfterBreak="0">
    <w:nsid w:val="13C47F2D"/>
    <w:multiLevelType w:val="multilevel"/>
    <w:tmpl w:val="C832C644"/>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454"/>
        </w:tabs>
        <w:ind w:left="454" w:hanging="454"/>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18"/>
        <w:szCs w:val="18"/>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3" w15:restartNumberingAfterBreak="0">
    <w:nsid w:val="1DB015AE"/>
    <w:multiLevelType w:val="multilevel"/>
    <w:tmpl w:val="B0D8C8BE"/>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567"/>
        </w:tabs>
        <w:ind w:left="567" w:hanging="567"/>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4" w15:restartNumberingAfterBreak="0">
    <w:nsid w:val="1DF16E1F"/>
    <w:multiLevelType w:val="singleLevel"/>
    <w:tmpl w:val="9F760F60"/>
    <w:lvl w:ilvl="0">
      <w:start w:val="1"/>
      <w:numFmt w:val="decimal"/>
      <w:lvlText w:val="%1"/>
      <w:legacy w:legacy="1" w:legacySpace="0" w:legacyIndent="283"/>
      <w:lvlJc w:val="left"/>
      <w:pPr>
        <w:ind w:left="283" w:hanging="283"/>
      </w:pPr>
      <w:rPr>
        <w:rFonts w:ascii="Times New Roman" w:hAnsi="Times New Roman" w:hint="default"/>
        <w:b w:val="0"/>
        <w:i w:val="0"/>
        <w:sz w:val="24"/>
      </w:rPr>
    </w:lvl>
  </w:abstractNum>
  <w:abstractNum w:abstractNumId="15" w15:restartNumberingAfterBreak="0">
    <w:nsid w:val="22820070"/>
    <w:multiLevelType w:val="multilevel"/>
    <w:tmpl w:val="5992C100"/>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510"/>
        </w:tabs>
        <w:ind w:left="510" w:hanging="510"/>
      </w:pPr>
      <w:rPr>
        <w:rFonts w:ascii="Times New Roman" w:hAnsi="Times New Roman" w:hint="default"/>
        <w:b w:val="0"/>
        <w:i w:val="0"/>
        <w:sz w:val="24"/>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6" w15:restartNumberingAfterBreak="0">
    <w:nsid w:val="29654FAC"/>
    <w:multiLevelType w:val="multilevel"/>
    <w:tmpl w:val="CBAC22F8"/>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0"/>
        </w:tabs>
        <w:ind w:left="0" w:firstLine="0"/>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7" w15:restartNumberingAfterBreak="0">
    <w:nsid w:val="2AC20976"/>
    <w:multiLevelType w:val="multilevel"/>
    <w:tmpl w:val="8758E1C2"/>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0"/>
        </w:tabs>
        <w:ind w:left="0" w:firstLine="0"/>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8" w15:restartNumberingAfterBreak="0">
    <w:nsid w:val="2E1475DF"/>
    <w:multiLevelType w:val="multilevel"/>
    <w:tmpl w:val="F67451BE"/>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454"/>
        </w:tabs>
        <w:ind w:left="454" w:hanging="454"/>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19" w15:restartNumberingAfterBreak="0">
    <w:nsid w:val="3F8637E1"/>
    <w:multiLevelType w:val="multilevel"/>
    <w:tmpl w:val="87A64EC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4532568E"/>
    <w:multiLevelType w:val="multilevel"/>
    <w:tmpl w:val="77C8CA32"/>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454"/>
        </w:tabs>
        <w:ind w:left="454" w:hanging="454"/>
      </w:pPr>
      <w:rPr>
        <w:rFonts w:ascii="Times New Roman" w:hAnsi="Times New Roman" w:hint="default"/>
        <w:b w:val="0"/>
        <w:i w:val="0"/>
        <w:sz w:val="18"/>
        <w:szCs w:val="18"/>
      </w:rPr>
    </w:lvl>
    <w:lvl w:ilvl="2">
      <w:start w:val="1"/>
      <w:numFmt w:val="decimal"/>
      <w:lvlText w:val="%1.%2.%3"/>
      <w:lvlJc w:val="left"/>
      <w:pPr>
        <w:tabs>
          <w:tab w:val="num" w:pos="567"/>
        </w:tabs>
        <w:ind w:left="567" w:hanging="567"/>
      </w:pPr>
      <w:rPr>
        <w:rFonts w:ascii="Times New Roman" w:hAnsi="Times New Roman" w:hint="default"/>
        <w:b w:val="0"/>
        <w:i w:val="0"/>
        <w:sz w:val="18"/>
        <w:szCs w:val="18"/>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1" w15:restartNumberingAfterBreak="0">
    <w:nsid w:val="490A4444"/>
    <w:multiLevelType w:val="multilevel"/>
    <w:tmpl w:val="5992C100"/>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510"/>
        </w:tabs>
        <w:ind w:left="510" w:hanging="510"/>
      </w:pPr>
      <w:rPr>
        <w:rFonts w:ascii="Times New Roman" w:hAnsi="Times New Roman" w:hint="default"/>
        <w:b w:val="0"/>
        <w:i w:val="0"/>
        <w:sz w:val="24"/>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2" w15:restartNumberingAfterBreak="0">
    <w:nsid w:val="4FA83054"/>
    <w:multiLevelType w:val="multilevel"/>
    <w:tmpl w:val="11FC5624"/>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510"/>
        </w:tabs>
        <w:ind w:left="510" w:hanging="510"/>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3" w15:restartNumberingAfterBreak="0">
    <w:nsid w:val="59AF5FCB"/>
    <w:multiLevelType w:val="multilevel"/>
    <w:tmpl w:val="92FA0EF6"/>
    <w:lvl w:ilvl="0">
      <w:start w:val="1"/>
      <w:numFmt w:val="decimal"/>
      <w:lvlText w:val="%1"/>
      <w:lvlJc w:val="left"/>
      <w:pPr>
        <w:tabs>
          <w:tab w:val="num" w:pos="340"/>
        </w:tabs>
        <w:ind w:left="340" w:hanging="340"/>
      </w:pPr>
      <w:rPr>
        <w:rFonts w:hint="default"/>
        <w:b w:val="0"/>
        <w:i w:val="0"/>
        <w:sz w:val="24"/>
      </w:rPr>
    </w:lvl>
    <w:lvl w:ilvl="1">
      <w:start w:val="1"/>
      <w:numFmt w:val="decimal"/>
      <w:lvlText w:val="%1.%2"/>
      <w:lvlJc w:val="left"/>
      <w:pPr>
        <w:tabs>
          <w:tab w:val="num" w:pos="510"/>
        </w:tabs>
        <w:ind w:left="510" w:hanging="510"/>
      </w:pPr>
      <w:rPr>
        <w:rFonts w:ascii="Times New Roman" w:hAnsi="Times New Roman" w:hint="default"/>
        <w:b w:val="0"/>
        <w:i w:val="0"/>
        <w:sz w:val="24"/>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4" w15:restartNumberingAfterBreak="0">
    <w:nsid w:val="61B81549"/>
    <w:multiLevelType w:val="multilevel"/>
    <w:tmpl w:val="8758E1C2"/>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0"/>
        </w:tabs>
        <w:ind w:left="0" w:firstLine="0"/>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5" w15:restartNumberingAfterBreak="0">
    <w:nsid w:val="642E078D"/>
    <w:multiLevelType w:val="multilevel"/>
    <w:tmpl w:val="AA62F730"/>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284"/>
        </w:tabs>
        <w:ind w:left="284" w:hanging="284"/>
      </w:pPr>
      <w:rPr>
        <w:rFonts w:ascii="Times New Roman" w:hAnsi="Times New Roman" w:hint="default"/>
        <w:b w:val="0"/>
        <w:i w:val="0"/>
        <w:sz w:val="18"/>
        <w:szCs w:val="18"/>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6" w15:restartNumberingAfterBreak="0">
    <w:nsid w:val="68DE4F01"/>
    <w:multiLevelType w:val="multilevel"/>
    <w:tmpl w:val="8842B17E"/>
    <w:lvl w:ilvl="0">
      <w:start w:val="1"/>
      <w:numFmt w:val="decimal"/>
      <w:lvlText w:val="%1"/>
      <w:lvlJc w:val="left"/>
      <w:pPr>
        <w:tabs>
          <w:tab w:val="num" w:pos="0"/>
        </w:tabs>
        <w:ind w:left="0" w:firstLine="0"/>
      </w:pPr>
      <w:rPr>
        <w:rFonts w:ascii="Times New Roman" w:hAnsi="Times New Roman" w:hint="default"/>
        <w:b w:val="0"/>
        <w:i w:val="0"/>
        <w:sz w:val="18"/>
        <w:szCs w:val="18"/>
      </w:rPr>
    </w:lvl>
    <w:lvl w:ilvl="1">
      <w:start w:val="1"/>
      <w:numFmt w:val="decimal"/>
      <w:lvlText w:val="%1.%2"/>
      <w:lvlJc w:val="left"/>
      <w:pPr>
        <w:tabs>
          <w:tab w:val="num" w:pos="454"/>
        </w:tabs>
        <w:ind w:left="454" w:hanging="454"/>
      </w:pPr>
      <w:rPr>
        <w:rFonts w:ascii="Times New Roman" w:hAnsi="Times New Roman" w:hint="default"/>
        <w:b w:val="0"/>
        <w:i w:val="0"/>
        <w:sz w:val="18"/>
        <w:szCs w:val="18"/>
      </w:rPr>
    </w:lvl>
    <w:lvl w:ilvl="2">
      <w:start w:val="1"/>
      <w:numFmt w:val="decimal"/>
      <w:lvlText w:val="%1.%2.%3"/>
      <w:lvlJc w:val="left"/>
      <w:pPr>
        <w:tabs>
          <w:tab w:val="num" w:pos="624"/>
        </w:tabs>
        <w:ind w:left="624" w:hanging="624"/>
      </w:pPr>
      <w:rPr>
        <w:rFonts w:ascii="Times New Roman" w:hAnsi="Times New Roman" w:hint="default"/>
        <w:b w:val="0"/>
        <w:i w:val="0"/>
        <w:sz w:val="18"/>
        <w:szCs w:val="18"/>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abstractNum w:abstractNumId="27" w15:restartNumberingAfterBreak="0">
    <w:nsid w:val="6F236254"/>
    <w:multiLevelType w:val="multilevel"/>
    <w:tmpl w:val="010C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7227A"/>
    <w:multiLevelType w:val="multilevel"/>
    <w:tmpl w:val="EE2C946A"/>
    <w:lvl w:ilvl="0">
      <w:start w:val="1"/>
      <w:numFmt w:val="decimal"/>
      <w:lvlText w:val="%1"/>
      <w:lvlJc w:val="left"/>
      <w:pPr>
        <w:tabs>
          <w:tab w:val="num" w:pos="360"/>
        </w:tabs>
        <w:ind w:left="340" w:hanging="340"/>
      </w:pPr>
      <w:rPr>
        <w:rFonts w:ascii="Times New Roman" w:hAnsi="Times New Roman" w:hint="default"/>
        <w:b w:val="0"/>
        <w:i w:val="0"/>
        <w:sz w:val="24"/>
      </w:rPr>
    </w:lvl>
    <w:lvl w:ilvl="1">
      <w:start w:val="1"/>
      <w:numFmt w:val="decimal"/>
      <w:lvlText w:val="%1.%2"/>
      <w:lvlJc w:val="left"/>
      <w:pPr>
        <w:tabs>
          <w:tab w:val="num" w:pos="510"/>
        </w:tabs>
        <w:ind w:left="510" w:hanging="510"/>
      </w:pPr>
      <w:rPr>
        <w:rFonts w:ascii="Times New Roman" w:hAnsi="Times New Roman" w:hint="default"/>
        <w:b w:val="0"/>
        <w:i w:val="0"/>
        <w:sz w:val="24"/>
      </w:rPr>
    </w:lvl>
    <w:lvl w:ilvl="2">
      <w:start w:val="1"/>
      <w:numFmt w:val="decimal"/>
      <w:lvlText w:val="%1.%2.%3"/>
      <w:lvlJc w:val="left"/>
      <w:pPr>
        <w:tabs>
          <w:tab w:val="num" w:pos="680"/>
        </w:tabs>
        <w:ind w:left="680" w:hanging="680"/>
      </w:pPr>
      <w:rPr>
        <w:rFonts w:ascii="Times New Roman" w:hAnsi="Times New Roman" w:hint="default"/>
        <w:b w:val="0"/>
        <w:i w:val="0"/>
        <w:sz w:val="24"/>
      </w:rPr>
    </w:lvl>
    <w:lvl w:ilvl="3">
      <w:start w:val="1"/>
      <w:numFmt w:val="decimal"/>
      <w:lvlText w:val="%1.%2.%3.%4"/>
      <w:lvlJc w:val="left"/>
      <w:pPr>
        <w:tabs>
          <w:tab w:val="num" w:pos="0"/>
        </w:tabs>
        <w:ind w:left="0" w:firstLine="0"/>
      </w:pPr>
      <w:rPr>
        <w:rFonts w:ascii="Times New Roman" w:hAnsi="Times New Roman" w:hint="default"/>
        <w:b w:val="0"/>
        <w:i w:val="0"/>
        <w:sz w:val="18"/>
      </w:rPr>
    </w:lvl>
    <w:lvl w:ilvl="4">
      <w:start w:val="1"/>
      <w:numFmt w:val="decimal"/>
      <w:lvlText w:val="(%5)"/>
      <w:lvlJc w:val="left"/>
      <w:pPr>
        <w:tabs>
          <w:tab w:val="num" w:pos="0"/>
        </w:tabs>
        <w:ind w:left="708" w:hanging="708"/>
      </w:pPr>
      <w:rPr>
        <w:rFonts w:hint="default"/>
      </w:rPr>
    </w:lvl>
    <w:lvl w:ilvl="5">
      <w:start w:val="1"/>
      <w:numFmt w:val="lowerLetter"/>
      <w:lvlText w:val="(%6)"/>
      <w:lvlJc w:val="left"/>
      <w:pPr>
        <w:tabs>
          <w:tab w:val="num" w:pos="0"/>
        </w:tabs>
        <w:ind w:left="1416" w:hanging="708"/>
      </w:pPr>
      <w:rPr>
        <w:rFonts w:hint="default"/>
      </w:rPr>
    </w:lvl>
    <w:lvl w:ilvl="6">
      <w:start w:val="1"/>
      <w:numFmt w:val="lowerRoman"/>
      <w:lvlText w:val="(%7)"/>
      <w:lvlJc w:val="left"/>
      <w:pPr>
        <w:tabs>
          <w:tab w:val="num" w:pos="0"/>
        </w:tabs>
        <w:ind w:left="2124" w:hanging="708"/>
      </w:pPr>
      <w:rPr>
        <w:rFonts w:hint="default"/>
      </w:rPr>
    </w:lvl>
    <w:lvl w:ilvl="7">
      <w:start w:val="1"/>
      <w:numFmt w:val="lowerLetter"/>
      <w:lvlText w:val="(%8)"/>
      <w:lvlJc w:val="left"/>
      <w:pPr>
        <w:tabs>
          <w:tab w:val="num" w:pos="0"/>
        </w:tabs>
        <w:ind w:left="2832" w:hanging="708"/>
      </w:pPr>
      <w:rPr>
        <w:rFonts w:hint="default"/>
      </w:rPr>
    </w:lvl>
    <w:lvl w:ilvl="8">
      <w:start w:val="1"/>
      <w:numFmt w:val="lowerRoman"/>
      <w:lvlText w:val="(%9)"/>
      <w:lvlJc w:val="left"/>
      <w:pPr>
        <w:tabs>
          <w:tab w:val="num" w:pos="0"/>
        </w:tabs>
        <w:ind w:left="3540" w:hanging="708"/>
      </w:pPr>
      <w:rPr>
        <w:rFonts w:hint="default"/>
      </w:rPr>
    </w:lvl>
  </w:abstractNum>
  <w:num w:numId="1" w16cid:durableId="1728793694">
    <w:abstractNumId w:val="3"/>
  </w:num>
  <w:num w:numId="2" w16cid:durableId="1080909561">
    <w:abstractNumId w:val="4"/>
  </w:num>
  <w:num w:numId="3" w16cid:durableId="1252467840">
    <w:abstractNumId w:val="3"/>
  </w:num>
  <w:num w:numId="4" w16cid:durableId="1025789358">
    <w:abstractNumId w:val="3"/>
  </w:num>
  <w:num w:numId="5" w16cid:durableId="918756951">
    <w:abstractNumId w:val="3"/>
  </w:num>
  <w:num w:numId="6" w16cid:durableId="1079987434">
    <w:abstractNumId w:val="3"/>
  </w:num>
  <w:num w:numId="7" w16cid:durableId="1425421668">
    <w:abstractNumId w:val="3"/>
  </w:num>
  <w:num w:numId="8" w16cid:durableId="689919439">
    <w:abstractNumId w:val="3"/>
  </w:num>
  <w:num w:numId="9" w16cid:durableId="1458641645">
    <w:abstractNumId w:val="3"/>
  </w:num>
  <w:num w:numId="10" w16cid:durableId="2088263886">
    <w:abstractNumId w:val="3"/>
  </w:num>
  <w:num w:numId="11" w16cid:durableId="2055495622">
    <w:abstractNumId w:val="3"/>
  </w:num>
  <w:num w:numId="12" w16cid:durableId="2079475448">
    <w:abstractNumId w:val="10"/>
  </w:num>
  <w:num w:numId="13" w16cid:durableId="1415665887">
    <w:abstractNumId w:val="14"/>
  </w:num>
  <w:num w:numId="14" w16cid:durableId="1643340477">
    <w:abstractNumId w:val="11"/>
  </w:num>
  <w:num w:numId="15" w16cid:durableId="1900707825">
    <w:abstractNumId w:val="28"/>
  </w:num>
  <w:num w:numId="16" w16cid:durableId="931930822">
    <w:abstractNumId w:val="23"/>
  </w:num>
  <w:num w:numId="17" w16cid:durableId="555704465">
    <w:abstractNumId w:val="21"/>
  </w:num>
  <w:num w:numId="18" w16cid:durableId="2006127929">
    <w:abstractNumId w:val="15"/>
  </w:num>
  <w:num w:numId="19" w16cid:durableId="640429350">
    <w:abstractNumId w:val="22"/>
  </w:num>
  <w:num w:numId="20" w16cid:durableId="1619869564">
    <w:abstractNumId w:val="8"/>
  </w:num>
  <w:num w:numId="21" w16cid:durableId="522793164">
    <w:abstractNumId w:val="16"/>
  </w:num>
  <w:num w:numId="22" w16cid:durableId="1969581346">
    <w:abstractNumId w:val="17"/>
  </w:num>
  <w:num w:numId="23" w16cid:durableId="1606696641">
    <w:abstractNumId w:val="24"/>
  </w:num>
  <w:num w:numId="24" w16cid:durableId="882519753">
    <w:abstractNumId w:val="13"/>
  </w:num>
  <w:num w:numId="25" w16cid:durableId="1490714268">
    <w:abstractNumId w:val="6"/>
  </w:num>
  <w:num w:numId="26" w16cid:durableId="254022984">
    <w:abstractNumId w:val="5"/>
  </w:num>
  <w:num w:numId="27" w16cid:durableId="1562205499">
    <w:abstractNumId w:val="25"/>
  </w:num>
  <w:num w:numId="28" w16cid:durableId="1615595968">
    <w:abstractNumId w:val="18"/>
  </w:num>
  <w:num w:numId="29" w16cid:durableId="1509783763">
    <w:abstractNumId w:val="9"/>
  </w:num>
  <w:num w:numId="30" w16cid:durableId="1595358688">
    <w:abstractNumId w:val="12"/>
  </w:num>
  <w:num w:numId="31" w16cid:durableId="125976838">
    <w:abstractNumId w:val="20"/>
  </w:num>
  <w:num w:numId="32" w16cid:durableId="1400516323">
    <w:abstractNumId w:val="26"/>
  </w:num>
  <w:num w:numId="33" w16cid:durableId="1213662652">
    <w:abstractNumId w:val="3"/>
  </w:num>
  <w:num w:numId="34" w16cid:durableId="1696268521">
    <w:abstractNumId w:val="3"/>
  </w:num>
  <w:num w:numId="35" w16cid:durableId="279605201">
    <w:abstractNumId w:val="3"/>
  </w:num>
  <w:num w:numId="36" w16cid:durableId="818576254">
    <w:abstractNumId w:val="27"/>
  </w:num>
  <w:num w:numId="37" w16cid:durableId="945887769">
    <w:abstractNumId w:val="3"/>
  </w:num>
  <w:num w:numId="38" w16cid:durableId="194661971">
    <w:abstractNumId w:val="3"/>
  </w:num>
  <w:num w:numId="39" w16cid:durableId="1911187930">
    <w:abstractNumId w:val="3"/>
  </w:num>
  <w:num w:numId="40" w16cid:durableId="1197894174">
    <w:abstractNumId w:val="3"/>
  </w:num>
  <w:num w:numId="41" w16cid:durableId="440952982">
    <w:abstractNumId w:val="19"/>
  </w:num>
  <w:num w:numId="42" w16cid:durableId="1327786693">
    <w:abstractNumId w:val="7"/>
  </w:num>
  <w:num w:numId="43" w16cid:durableId="542913367">
    <w:abstractNumId w:val="3"/>
  </w:num>
  <w:num w:numId="44" w16cid:durableId="2039618114">
    <w:abstractNumId w:val="2"/>
  </w:num>
  <w:num w:numId="45" w16cid:durableId="1416513251">
    <w:abstractNumId w:val="1"/>
  </w:num>
  <w:num w:numId="46" w16cid:durableId="1100570007">
    <w:abstractNumId w:val="0"/>
  </w:num>
  <w:num w:numId="47" w16cid:durableId="706032466">
    <w:abstractNumId w:val="19"/>
  </w:num>
  <w:num w:numId="48" w16cid:durableId="1259750664">
    <w:abstractNumId w:val="3"/>
  </w:num>
  <w:num w:numId="49" w16cid:durableId="19825373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removePersonalInformation/>
  <w:removeDateAndTime/>
  <w:embedTrueTypeFonts/>
  <w:bordersDoNotSurroundHeader/>
  <w:bordersDoNotSurroundFooter/>
  <w:activeWritingStyle w:appName="MSWord" w:lang="en-GB" w:vendorID="64" w:dllVersion="6" w:nlCheck="1" w:checkStyle="1"/>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4096" w:nlCheck="1" w:checkStyle="0"/>
  <w:activeWritingStyle w:appName="MSWord" w:lang="en-US" w:vendorID="64" w:dllVersion="4096" w:nlCheck="1" w:checkStyle="0"/>
  <w:activeWritingStyle w:appName="MSWord" w:lang="nl-NL"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consecutiveHyphenLimit w:val="3"/>
  <w:hyphenationZone w:val="4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53F"/>
    <w:rsid w:val="00005DE9"/>
    <w:rsid w:val="00012300"/>
    <w:rsid w:val="00013E93"/>
    <w:rsid w:val="0002145C"/>
    <w:rsid w:val="00025067"/>
    <w:rsid w:val="0003732D"/>
    <w:rsid w:val="0004285F"/>
    <w:rsid w:val="00062272"/>
    <w:rsid w:val="00072C11"/>
    <w:rsid w:val="00075D96"/>
    <w:rsid w:val="00090FC8"/>
    <w:rsid w:val="000A316A"/>
    <w:rsid w:val="000A7333"/>
    <w:rsid w:val="000B2A62"/>
    <w:rsid w:val="000C0586"/>
    <w:rsid w:val="000C4C9C"/>
    <w:rsid w:val="000C690E"/>
    <w:rsid w:val="000D15C9"/>
    <w:rsid w:val="000D1ED5"/>
    <w:rsid w:val="000E3282"/>
    <w:rsid w:val="000F53C9"/>
    <w:rsid w:val="000F6751"/>
    <w:rsid w:val="00113B04"/>
    <w:rsid w:val="00162DFA"/>
    <w:rsid w:val="001867BC"/>
    <w:rsid w:val="001A1CFF"/>
    <w:rsid w:val="001A3580"/>
    <w:rsid w:val="001B3048"/>
    <w:rsid w:val="001B749D"/>
    <w:rsid w:val="001F5115"/>
    <w:rsid w:val="00207F66"/>
    <w:rsid w:val="002128BD"/>
    <w:rsid w:val="00212FD6"/>
    <w:rsid w:val="00226A15"/>
    <w:rsid w:val="0023090E"/>
    <w:rsid w:val="00232811"/>
    <w:rsid w:val="00243A6E"/>
    <w:rsid w:val="00254A14"/>
    <w:rsid w:val="002616B8"/>
    <w:rsid w:val="00263602"/>
    <w:rsid w:val="002775A1"/>
    <w:rsid w:val="002A39B7"/>
    <w:rsid w:val="002F09D8"/>
    <w:rsid w:val="00300A7E"/>
    <w:rsid w:val="003113D9"/>
    <w:rsid w:val="00314F93"/>
    <w:rsid w:val="0031532E"/>
    <w:rsid w:val="00317F8D"/>
    <w:rsid w:val="00317FA4"/>
    <w:rsid w:val="00325464"/>
    <w:rsid w:val="00331579"/>
    <w:rsid w:val="003339A3"/>
    <w:rsid w:val="00335FF6"/>
    <w:rsid w:val="0034081C"/>
    <w:rsid w:val="003546C9"/>
    <w:rsid w:val="00370B65"/>
    <w:rsid w:val="003B03A7"/>
    <w:rsid w:val="003B0B16"/>
    <w:rsid w:val="003B1F66"/>
    <w:rsid w:val="003D7F9E"/>
    <w:rsid w:val="003E4977"/>
    <w:rsid w:val="003F54E4"/>
    <w:rsid w:val="003F79A8"/>
    <w:rsid w:val="0040322B"/>
    <w:rsid w:val="004157D4"/>
    <w:rsid w:val="00421906"/>
    <w:rsid w:val="00427922"/>
    <w:rsid w:val="00440D1C"/>
    <w:rsid w:val="00443831"/>
    <w:rsid w:val="00461158"/>
    <w:rsid w:val="00464FC5"/>
    <w:rsid w:val="004A1867"/>
    <w:rsid w:val="004B4BCA"/>
    <w:rsid w:val="004C5DE6"/>
    <w:rsid w:val="004D6D67"/>
    <w:rsid w:val="004E0101"/>
    <w:rsid w:val="004E123D"/>
    <w:rsid w:val="004F5D47"/>
    <w:rsid w:val="005019AC"/>
    <w:rsid w:val="00515FDC"/>
    <w:rsid w:val="005255D9"/>
    <w:rsid w:val="00544B96"/>
    <w:rsid w:val="005537DD"/>
    <w:rsid w:val="00554D43"/>
    <w:rsid w:val="005646D2"/>
    <w:rsid w:val="005A2BDF"/>
    <w:rsid w:val="005B4E0B"/>
    <w:rsid w:val="005D107C"/>
    <w:rsid w:val="005D45AB"/>
    <w:rsid w:val="005E043F"/>
    <w:rsid w:val="00601906"/>
    <w:rsid w:val="006263BB"/>
    <w:rsid w:val="006335A1"/>
    <w:rsid w:val="006402D1"/>
    <w:rsid w:val="00682A27"/>
    <w:rsid w:val="006938B7"/>
    <w:rsid w:val="006A785A"/>
    <w:rsid w:val="006B4ED2"/>
    <w:rsid w:val="006C468E"/>
    <w:rsid w:val="006C590B"/>
    <w:rsid w:val="006E10D2"/>
    <w:rsid w:val="006F05E7"/>
    <w:rsid w:val="006F1568"/>
    <w:rsid w:val="006F453F"/>
    <w:rsid w:val="007134B7"/>
    <w:rsid w:val="00714B38"/>
    <w:rsid w:val="007236A4"/>
    <w:rsid w:val="00752E51"/>
    <w:rsid w:val="007875E4"/>
    <w:rsid w:val="0079275D"/>
    <w:rsid w:val="007A0B6B"/>
    <w:rsid w:val="007A61B7"/>
    <w:rsid w:val="007C36EC"/>
    <w:rsid w:val="007D7D3C"/>
    <w:rsid w:val="00822F9A"/>
    <w:rsid w:val="00832924"/>
    <w:rsid w:val="00833BE4"/>
    <w:rsid w:val="00844C33"/>
    <w:rsid w:val="00847C68"/>
    <w:rsid w:val="00850BA0"/>
    <w:rsid w:val="00854E0E"/>
    <w:rsid w:val="00881BC8"/>
    <w:rsid w:val="0088511A"/>
    <w:rsid w:val="008A0B75"/>
    <w:rsid w:val="008A3EFF"/>
    <w:rsid w:val="008A7E05"/>
    <w:rsid w:val="008B5994"/>
    <w:rsid w:val="008B7454"/>
    <w:rsid w:val="008D0943"/>
    <w:rsid w:val="008D10F3"/>
    <w:rsid w:val="008E41F4"/>
    <w:rsid w:val="008E45F7"/>
    <w:rsid w:val="0092028C"/>
    <w:rsid w:val="00923587"/>
    <w:rsid w:val="009265EF"/>
    <w:rsid w:val="00944F75"/>
    <w:rsid w:val="00950D9F"/>
    <w:rsid w:val="00960BF3"/>
    <w:rsid w:val="00965FF2"/>
    <w:rsid w:val="00982559"/>
    <w:rsid w:val="009A2E25"/>
    <w:rsid w:val="009A7669"/>
    <w:rsid w:val="009B4115"/>
    <w:rsid w:val="009B78C1"/>
    <w:rsid w:val="00A03AB8"/>
    <w:rsid w:val="00A03EC8"/>
    <w:rsid w:val="00A12C42"/>
    <w:rsid w:val="00A331A7"/>
    <w:rsid w:val="00A34C7E"/>
    <w:rsid w:val="00A53418"/>
    <w:rsid w:val="00A91FA0"/>
    <w:rsid w:val="00AB365F"/>
    <w:rsid w:val="00AB640D"/>
    <w:rsid w:val="00AB728D"/>
    <w:rsid w:val="00AD4723"/>
    <w:rsid w:val="00AD6D9F"/>
    <w:rsid w:val="00AE2DDE"/>
    <w:rsid w:val="00AE4882"/>
    <w:rsid w:val="00AE5E2C"/>
    <w:rsid w:val="00AF3B5F"/>
    <w:rsid w:val="00B030A7"/>
    <w:rsid w:val="00B25BA1"/>
    <w:rsid w:val="00B27632"/>
    <w:rsid w:val="00B33EBA"/>
    <w:rsid w:val="00B357F2"/>
    <w:rsid w:val="00B378F6"/>
    <w:rsid w:val="00B61FBC"/>
    <w:rsid w:val="00B677AC"/>
    <w:rsid w:val="00B769D0"/>
    <w:rsid w:val="00B8430A"/>
    <w:rsid w:val="00BA09B8"/>
    <w:rsid w:val="00BA25C1"/>
    <w:rsid w:val="00BB1071"/>
    <w:rsid w:val="00BC6FE5"/>
    <w:rsid w:val="00BC7EDA"/>
    <w:rsid w:val="00BE003D"/>
    <w:rsid w:val="00BF6206"/>
    <w:rsid w:val="00C33320"/>
    <w:rsid w:val="00C579C6"/>
    <w:rsid w:val="00C70C99"/>
    <w:rsid w:val="00C7362C"/>
    <w:rsid w:val="00C87913"/>
    <w:rsid w:val="00CA770E"/>
    <w:rsid w:val="00CC0F4C"/>
    <w:rsid w:val="00CC3D3A"/>
    <w:rsid w:val="00CD73B4"/>
    <w:rsid w:val="00CF3DA4"/>
    <w:rsid w:val="00CF57B0"/>
    <w:rsid w:val="00CF7103"/>
    <w:rsid w:val="00D63C89"/>
    <w:rsid w:val="00DA7F45"/>
    <w:rsid w:val="00DD4621"/>
    <w:rsid w:val="00DE4EE0"/>
    <w:rsid w:val="00E2050E"/>
    <w:rsid w:val="00E227E6"/>
    <w:rsid w:val="00E31E3B"/>
    <w:rsid w:val="00E3632D"/>
    <w:rsid w:val="00E43A13"/>
    <w:rsid w:val="00E44958"/>
    <w:rsid w:val="00E65040"/>
    <w:rsid w:val="00E726CE"/>
    <w:rsid w:val="00E92A58"/>
    <w:rsid w:val="00E976C5"/>
    <w:rsid w:val="00EB4DE8"/>
    <w:rsid w:val="00EC274C"/>
    <w:rsid w:val="00F00441"/>
    <w:rsid w:val="00F50356"/>
    <w:rsid w:val="00F557A4"/>
    <w:rsid w:val="00F61EF6"/>
    <w:rsid w:val="00F71E04"/>
    <w:rsid w:val="00F9364D"/>
    <w:rsid w:val="00FA13BE"/>
    <w:rsid w:val="00FA4A0C"/>
    <w:rsid w:val="00FA6E7C"/>
    <w:rsid w:val="00FE198B"/>
    <w:rsid w:val="00FE5A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22E3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0BF3"/>
    <w:pPr>
      <w:tabs>
        <w:tab w:val="center" w:pos="4680"/>
        <w:tab w:val="right" w:pos="9360"/>
      </w:tabs>
    </w:pPr>
  </w:style>
  <w:style w:type="character" w:customStyle="1" w:styleId="a4">
    <w:name w:val="页眉 字符"/>
    <w:basedOn w:val="a0"/>
    <w:link w:val="a3"/>
    <w:uiPriority w:val="99"/>
    <w:rsid w:val="00960BF3"/>
  </w:style>
  <w:style w:type="paragraph" w:styleId="a5">
    <w:name w:val="footer"/>
    <w:basedOn w:val="a"/>
    <w:link w:val="a6"/>
    <w:uiPriority w:val="99"/>
    <w:unhideWhenUsed/>
    <w:rsid w:val="00960BF3"/>
    <w:pPr>
      <w:tabs>
        <w:tab w:val="center" w:pos="4680"/>
        <w:tab w:val="right" w:pos="9360"/>
      </w:tabs>
    </w:pPr>
  </w:style>
  <w:style w:type="character" w:customStyle="1" w:styleId="a6">
    <w:name w:val="页脚 字符"/>
    <w:basedOn w:val="a0"/>
    <w:link w:val="a5"/>
    <w:uiPriority w:val="99"/>
    <w:rsid w:val="00960BF3"/>
  </w:style>
  <w:style w:type="character" w:styleId="a7">
    <w:name w:val="annotation reference"/>
    <w:basedOn w:val="a0"/>
    <w:uiPriority w:val="99"/>
    <w:semiHidden/>
    <w:unhideWhenUsed/>
    <w:rsid w:val="005E043F"/>
    <w:rPr>
      <w:sz w:val="16"/>
      <w:szCs w:val="16"/>
    </w:rPr>
  </w:style>
  <w:style w:type="paragraph" w:styleId="a8">
    <w:name w:val="annotation text"/>
    <w:basedOn w:val="a"/>
    <w:link w:val="a9"/>
    <w:uiPriority w:val="99"/>
    <w:semiHidden/>
    <w:unhideWhenUsed/>
    <w:rsid w:val="005E043F"/>
  </w:style>
  <w:style w:type="character" w:customStyle="1" w:styleId="a9">
    <w:name w:val="批注文字 字符"/>
    <w:basedOn w:val="a0"/>
    <w:link w:val="a8"/>
    <w:uiPriority w:val="99"/>
    <w:semiHidden/>
    <w:rsid w:val="005E043F"/>
  </w:style>
  <w:style w:type="paragraph" w:styleId="aa">
    <w:name w:val="annotation subject"/>
    <w:basedOn w:val="a8"/>
    <w:next w:val="a8"/>
    <w:link w:val="ab"/>
    <w:uiPriority w:val="99"/>
    <w:semiHidden/>
    <w:unhideWhenUsed/>
    <w:rsid w:val="005E043F"/>
    <w:rPr>
      <w:b/>
      <w:bCs/>
    </w:rPr>
  </w:style>
  <w:style w:type="character" w:customStyle="1" w:styleId="ab">
    <w:name w:val="批注主题 字符"/>
    <w:basedOn w:val="a9"/>
    <w:link w:val="aa"/>
    <w:uiPriority w:val="99"/>
    <w:semiHidden/>
    <w:rsid w:val="005E043F"/>
    <w:rPr>
      <w:b/>
      <w:bCs/>
    </w:rPr>
  </w:style>
  <w:style w:type="paragraph" w:styleId="ac">
    <w:name w:val="Balloon Text"/>
    <w:basedOn w:val="a"/>
    <w:link w:val="ad"/>
    <w:uiPriority w:val="99"/>
    <w:semiHidden/>
    <w:unhideWhenUsed/>
    <w:rsid w:val="005E043F"/>
    <w:rPr>
      <w:rFonts w:ascii="Segoe UI" w:hAnsi="Segoe UI" w:cs="Segoe UI"/>
      <w:sz w:val="18"/>
      <w:szCs w:val="18"/>
    </w:rPr>
  </w:style>
  <w:style w:type="character" w:customStyle="1" w:styleId="ad">
    <w:name w:val="批注框文本 字符"/>
    <w:basedOn w:val="a0"/>
    <w:link w:val="ac"/>
    <w:uiPriority w:val="99"/>
    <w:semiHidden/>
    <w:rsid w:val="005E043F"/>
    <w:rPr>
      <w:rFonts w:ascii="Segoe UI" w:hAnsi="Segoe UI" w:cs="Segoe UI"/>
      <w:sz w:val="18"/>
      <w:szCs w:val="18"/>
    </w:rPr>
  </w:style>
  <w:style w:type="character" w:styleId="ae">
    <w:name w:val="Hyperlink"/>
    <w:basedOn w:val="a0"/>
    <w:uiPriority w:val="99"/>
    <w:unhideWhenUsed/>
    <w:rsid w:val="005E043F"/>
    <w:rPr>
      <w:color w:val="0563C1" w:themeColor="hyperlink"/>
      <w:u w:val="single"/>
    </w:rPr>
  </w:style>
  <w:style w:type="character" w:styleId="af">
    <w:name w:val="Unresolved Mention"/>
    <w:basedOn w:val="a0"/>
    <w:uiPriority w:val="99"/>
    <w:semiHidden/>
    <w:unhideWhenUsed/>
    <w:rsid w:val="00BC6FE5"/>
    <w:rPr>
      <w:color w:val="605E5C"/>
      <w:shd w:val="clear" w:color="auto" w:fill="E1DFDD"/>
    </w:rPr>
  </w:style>
  <w:style w:type="paragraph" w:styleId="af0">
    <w:name w:val="Normal (Web)"/>
    <w:basedOn w:val="a"/>
    <w:uiPriority w:val="99"/>
    <w:semiHidden/>
    <w:unhideWhenUsed/>
    <w:rsid w:val="00BE00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3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erner%20Bilfinger\Meus%20documentos\Artigos\ICSMGE\General%20Report%20TC%20207\Template%20GR%20Paris%20201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C:\Documents and Settings\Werner Bilfinger\Meus documentos\Artigos\ICSMGE\General Report TC 207\Template GR Paris 2013.dot</Template>
  <TotalTime>0</TotalTime>
  <Pages>1</Pages>
  <Words>890</Words>
  <Characters>5076</Characters>
  <Application>Microsoft Office Word</Application>
  <DocSecurity>0</DocSecurity>
  <Lines>42</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Title in English</vt:lpstr>
      <vt:lpstr>Title in English</vt:lpstr>
    </vt:vector>
  </TitlesOfParts>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in English</dc:title>
  <dc:subject>A4 size  paper</dc:subject>
  <dc:creator/>
  <cp:keywords/>
  <cp:lastModifiedBy/>
  <cp:revision>1</cp:revision>
  <cp:lastPrinted>2012-09-17T08:21:00Z</cp:lastPrinted>
  <dcterms:created xsi:type="dcterms:W3CDTF">2026-05-21T06:32:00Z</dcterms:created>
  <dcterms:modified xsi:type="dcterms:W3CDTF">2026-06-10T08:29:00Z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82541eb-7d60-4d7e-9994-a4817acf050d_Enabled">
    <vt:lpwstr>True</vt:lpwstr>
  </property>
  <property fmtid="{D5CDD505-2E9C-101B-9397-08002B2CF9AE}" pid="3" name="MSIP_Label_f82541eb-7d60-4d7e-9994-a4817acf050d_SiteId">
    <vt:lpwstr>5a1e0c10-68b1-4667-974b-f394ba989c51</vt:lpwstr>
  </property>
  <property fmtid="{D5CDD505-2E9C-101B-9397-08002B2CF9AE}" pid="4" name="MSIP_Label_f82541eb-7d60-4d7e-9994-a4817acf050d_Owner">
    <vt:lpwstr>ZAYEYA0A@aramco.com</vt:lpwstr>
  </property>
  <property fmtid="{D5CDD505-2E9C-101B-9397-08002B2CF9AE}" pid="5" name="MSIP_Label_f82541eb-7d60-4d7e-9994-a4817acf050d_SetDate">
    <vt:lpwstr>2026-02-24T14:12:16.9454796Z</vt:lpwstr>
  </property>
  <property fmtid="{D5CDD505-2E9C-101B-9397-08002B2CF9AE}" pid="6" name="MSIP_Label_f82541eb-7d60-4d7e-9994-a4817acf050d_Name">
    <vt:lpwstr>Non-Business Use</vt:lpwstr>
  </property>
  <property fmtid="{D5CDD505-2E9C-101B-9397-08002B2CF9AE}" pid="7" name="MSIP_Label_f82541eb-7d60-4d7e-9994-a4817acf050d_Application">
    <vt:lpwstr>Microsoft Azure Information Protection</vt:lpwstr>
  </property>
  <property fmtid="{D5CDD505-2E9C-101B-9397-08002B2CF9AE}" pid="8" name="MSIP_Label_f82541eb-7d60-4d7e-9994-a4817acf050d_ActionId">
    <vt:lpwstr>7674c742-cbe7-46bd-995f-94d69afa76d9</vt:lpwstr>
  </property>
  <property fmtid="{D5CDD505-2E9C-101B-9397-08002B2CF9AE}" pid="9" name="MSIP_Label_f82541eb-7d60-4d7e-9994-a4817acf050d_Extended_MSFT_Method">
    <vt:lpwstr>Manual</vt:lpwstr>
  </property>
  <property fmtid="{D5CDD505-2E9C-101B-9397-08002B2CF9AE}" pid="10" name="MSIP_Label_b3d96334-8088-4d06-a309-a4c590f70b42_Enabled">
    <vt:lpwstr>True</vt:lpwstr>
  </property>
  <property fmtid="{D5CDD505-2E9C-101B-9397-08002B2CF9AE}" pid="11" name="MSIP_Label_b3d96334-8088-4d06-a309-a4c590f70b42_SiteId">
    <vt:lpwstr>3793a1e6-1687-4a33-a150-6d1a5640ff06</vt:lpwstr>
  </property>
  <property fmtid="{D5CDD505-2E9C-101B-9397-08002B2CF9AE}" pid="12" name="MSIP_Label_b3d96334-8088-4d06-a309-a4c590f70b42_SetDate">
    <vt:lpwstr>2024-02-20T12:10:23Z</vt:lpwstr>
  </property>
  <property fmtid="{D5CDD505-2E9C-101B-9397-08002B2CF9AE}" pid="13" name="MSIP_Label_b3d96334-8088-4d06-a309-a4c590f70b42_Name">
    <vt:lpwstr>ASC-Non-Business-Use</vt:lpwstr>
  </property>
  <property fmtid="{D5CDD505-2E9C-101B-9397-08002B2CF9AE}" pid="14" name="MSIP_Label_b3d96334-8088-4d06-a309-a4c590f70b42_ActionId">
    <vt:lpwstr>7c92c996-3162-4ad7-8777-2e7a9e9a4c46</vt:lpwstr>
  </property>
  <property fmtid="{D5CDD505-2E9C-101B-9397-08002B2CF9AE}" pid="15" name="Sensitivity">
    <vt:lpwstr>Non-Business Use ASC-Non-Business-Use</vt:lpwstr>
  </property>
</Properties>
</file>