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IGS会议全文中文详细框架</w:t>
      </w:r>
    </w:p>
    <w:p>
      <w:pPr>
        <w:pStyle w:val="Subtitle"/>
      </w:pPr>
      <w:r>
        <w:t>深层页岩气邻井压力响应模式识别与压窜风险预测</w:t>
      </w:r>
    </w:p>
    <w:p>
      <w:r>
        <w:t>研究目标是从邻井压力曲线中识别可重复的响应模式，结合微地震与现场记录解释其风险含义，再利用压前可获得的地质工程参数预测风险类型，并用SHAP分析模型依据及其地质力学关联。</w:t>
      </w:r>
    </w:p>
    <w:p>
      <w:r>
        <w:t>建议中文论文题目：深层页岩气邻井压力响应模式识别与压窜风险预测的可解释机器学习框架。</w:t>
      </w:r>
    </w:p>
    <w:p>
      <w:r>
        <w:t>对应英文题目：An Interpretable Machine-Learning Framework for Pressure-Response Pattern Recognition and Frac-Hit Prediction in Deep Shale Gas Reservoirs。</w:t>
      </w:r>
    </w:p>
    <w:p>
      <w:pPr>
        <w:pStyle w:val="Heading2"/>
      </w:pPr>
      <w:r>
        <w:t>研究主线和论文落点</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24"/>
        <w:gridCol w:w="3600"/>
        <w:gridCol w:w="4048"/>
      </w:tblGrid>
      <w:tr>
        <w:trPr>
          <w:cantSplit/>
          <w:tblHeader/>
        </w:trPr>
        <w:tc>
          <w:tcPr>
            <w:tcW w:type="dxa" w:w="2324"/>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研究环节</w:t>
            </w:r>
          </w:p>
        </w:tc>
        <w:tc>
          <w:tcPr>
            <w:tcW w:type="dxa" w:w="3600"/>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要回答的问题</w:t>
            </w:r>
          </w:p>
        </w:tc>
        <w:tc>
          <w:tcPr>
            <w:tcW w:type="dxa" w:w="4048"/>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应形成的成果</w:t>
            </w:r>
          </w:p>
        </w:tc>
      </w:tr>
      <w:tr>
        <w:trPr>
          <w:cantSplit/>
        </w:trPr>
        <w:tc>
          <w:tcPr>
            <w:tcW w:type="dxa" w:w="2324"/>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压力时序聚类</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邻井压力响应能否形成稳定、可解释的类型</w:t>
            </w:r>
          </w:p>
        </w:tc>
        <w:tc>
          <w:tcPr>
            <w:tcW w:type="dxa" w:w="4048"/>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聚类方法对比、代表曲线与类别稳定性</w:t>
            </w:r>
          </w:p>
        </w:tc>
      </w:tr>
      <w:tr>
        <w:trPr>
          <w:cantSplit/>
        </w:trPr>
        <w:tc>
          <w:tcPr>
            <w:tcW w:type="dxa" w:w="2324"/>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类型与风险解释</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不同响应模式意味着怎样的井间干扰风险</w:t>
            </w:r>
          </w:p>
        </w:tc>
        <w:tc>
          <w:tcPr>
            <w:tcW w:type="dxa" w:w="4048"/>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类别特征表、风险解释及证据置信度</w:t>
            </w:r>
          </w:p>
        </w:tc>
      </w:tr>
      <w:tr>
        <w:trPr>
          <w:cantSplit/>
        </w:trPr>
        <w:tc>
          <w:tcPr>
            <w:tcW w:type="dxa" w:w="2324"/>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微地震检验</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裂缝活动的时空分布是否支持压力分类</w:t>
            </w:r>
          </w:p>
        </w:tc>
        <w:tc>
          <w:tcPr>
            <w:tcW w:type="dxa" w:w="4048"/>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空间接近、迁移方向和时间响应证据</w:t>
            </w:r>
          </w:p>
        </w:tc>
      </w:tr>
      <w:tr>
        <w:trPr>
          <w:cantSplit/>
        </w:trPr>
        <w:tc>
          <w:tcPr>
            <w:tcW w:type="dxa" w:w="2324"/>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地质工程参数预测</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在目标段施工前能否预测邻井风险类型</w:t>
            </w:r>
          </w:p>
        </w:tc>
        <w:tc>
          <w:tcPr>
            <w:tcW w:type="dxa" w:w="4048"/>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分组测试下的分类表现与类别概率</w:t>
            </w:r>
          </w:p>
        </w:tc>
      </w:tr>
      <w:tr>
        <w:trPr>
          <w:cantSplit/>
        </w:trPr>
        <w:tc>
          <w:tcPr>
            <w:tcW w:type="dxa" w:w="2324"/>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SHAP及力学讨论</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模型依据哪些因素作出判断</w:t>
            </w:r>
          </w:p>
        </w:tc>
        <w:tc>
          <w:tcPr>
            <w:tcW w:type="dxa" w:w="4048"/>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分类别贡献、非线性关系、典型段解释</w:t>
            </w:r>
          </w:p>
        </w:tc>
      </w:tr>
    </w:tbl>
    <w:p>
      <w:pPr>
        <w:spacing w:after="0" w:before="0" w:line="80" w:lineRule="exact"/>
      </w:pPr>
      <w:r>
        <w:rPr>
          <w:rFonts w:ascii="Times New Roman" w:hAnsi="Times New Roman" w:eastAsia="SimSun" w:cs="Times New Roman"/>
          <w:b w:val="0"/>
          <w:color w:val="000000"/>
          <w:sz w:val="6"/>
        </w:rPr>
      </w:r>
    </w:p>
    <w:p>
      <w:pPr>
        <w:pStyle w:val="Heading2"/>
      </w:pPr>
      <w:r>
        <w:t>研究范围</w:t>
      </w:r>
    </w:p>
    <w:p>
      <w:r>
        <w:t>基本样本为一个施工段与一口监测邻井的配对。历史完整压力曲线用于构建响应标签；压前预测模型使用该段开泵前可知的地质、井间几何、既往施工历史和设计参数。微地震主要用于验证标签的物理合理性。全文重点放在风险分类及地质力学解释，临界液量回归和实时多步压力预测可作为后续研究。</w:t>
      </w:r>
    </w:p>
    <w:p>
      <w:r>
        <w:t>预期结果是待检验的分析方向。类别数、类别名称、风险阈值、模型优劣、显著性及指标数值均由真实实验确定；框架中的【待填】位置用于补入结果。</w:t>
      </w:r>
    </w:p>
    <w:p>
      <w:pPr>
        <w:pStyle w:val="Heading2"/>
      </w:pPr>
      <w:r>
        <w:t>建议的一级目录</w:t>
      </w:r>
    </w:p>
    <w:p>
      <w:r>
        <w:t>摘要；1 引言；2 研究区与数据；3 研究方法；4 结果；5 讨论；6 结论；致谢；参考文献。方法和结果逐项对应，避免将算法说明、结果展示和机理推测混写。</w:t>
      </w:r>
    </w:p>
    <w:p>
      <w:pPr>
        <w:pStyle w:val="Heading1"/>
        <w:pageBreakBefore/>
      </w:pPr>
      <w:r>
        <w:t>正式稿篇幅安排与摘要</w:t>
      </w:r>
    </w:p>
    <w:p>
      <w:pPr>
        <w:pStyle w:val="Heading2"/>
      </w:pPr>
      <w:r>
        <w:t>IGS模板落实要点</w:t>
      </w:r>
    </w:p>
    <w:p>
      <w:r>
        <w:t>依据所附2026 IGS官方模板：英文摘要为一个自然段、150—200词；正文11 pt Times New Roman、单倍行距、两端对齐、双栏；一级标题12 pt大写，二级标题12 pt斜体，章节使用阿拉伯数字编号。图题置于图下，表题置于表上，图表文字及参考文献10 pt。文内采用作者—年份制，文后按作者姓氏字母顺序排列，最终提交PDF。</w:t>
      </w:r>
    </w:p>
    <w:p>
      <w:r>
        <w:t>模板一处写通常4—6页，另一处写无页数上限、通常6—10页，不能将其中任何一项当作确定的硬性上限。先以约8页英文全文配置内容，最终按投稿系统及会议通知落实。本中文框架用于展开写作，页数不对应投稿页数。</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61"/>
        <w:gridCol w:w="1361"/>
        <w:gridCol w:w="5550"/>
      </w:tblGrid>
      <w:tr>
        <w:trPr>
          <w:cantSplit/>
          <w:tblHeader/>
        </w:trPr>
        <w:tc>
          <w:tcPr>
            <w:tcW w:type="dxa" w:w="3061"/>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英文全文内容</w:t>
            </w:r>
          </w:p>
        </w:tc>
        <w:tc>
          <w:tcPr>
            <w:tcW w:type="dxa" w:w="1361"/>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建议页数</w:t>
            </w:r>
          </w:p>
        </w:tc>
        <w:tc>
          <w:tcPr>
            <w:tcW w:type="dxa" w:w="5550"/>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内容分配</w:t>
            </w:r>
          </w:p>
        </w:tc>
      </w:tr>
      <w:tr>
        <w:trPr>
          <w:cantSplit/>
        </w:trPr>
        <w:tc>
          <w:tcPr>
            <w:tcW w:type="dxa" w:w="306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标题 作者 摘要</w:t>
            </w:r>
          </w:p>
        </w:tc>
        <w:tc>
          <w:tcPr>
            <w:tcW w:type="dxa" w:w="136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0.5</w:t>
            </w:r>
          </w:p>
        </w:tc>
        <w:tc>
          <w:tcPr>
            <w:tcW w:type="dxa" w:w="555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数据规模、方法、核心实测结果及贡献</w:t>
            </w:r>
          </w:p>
        </w:tc>
      </w:tr>
      <w:tr>
        <w:trPr>
          <w:cantSplit/>
        </w:trPr>
        <w:tc>
          <w:tcPr>
            <w:tcW w:type="dxa" w:w="306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1 引言</w:t>
            </w:r>
          </w:p>
        </w:tc>
        <w:tc>
          <w:tcPr>
            <w:tcW w:type="dxa" w:w="136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0.75</w:t>
            </w:r>
          </w:p>
        </w:tc>
        <w:tc>
          <w:tcPr>
            <w:tcW w:type="dxa" w:w="555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五段式问题引出与研究目标</w:t>
            </w:r>
          </w:p>
        </w:tc>
      </w:tr>
      <w:tr>
        <w:trPr>
          <w:cantSplit/>
        </w:trPr>
        <w:tc>
          <w:tcPr>
            <w:tcW w:type="dxa" w:w="306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2 研究区与数据</w:t>
            </w:r>
          </w:p>
        </w:tc>
        <w:tc>
          <w:tcPr>
            <w:tcW w:type="dxa" w:w="136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0.75</w:t>
            </w:r>
          </w:p>
        </w:tc>
        <w:tc>
          <w:tcPr>
            <w:tcW w:type="dxa" w:w="555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平台、样本单元、资料覆盖和质控</w:t>
            </w:r>
          </w:p>
        </w:tc>
      </w:tr>
      <w:tr>
        <w:trPr>
          <w:cantSplit/>
        </w:trPr>
        <w:tc>
          <w:tcPr>
            <w:tcW w:type="dxa" w:w="306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3 研究方法</w:t>
            </w:r>
          </w:p>
        </w:tc>
        <w:tc>
          <w:tcPr>
            <w:tcW w:type="dxa" w:w="136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2.0</w:t>
            </w:r>
          </w:p>
        </w:tc>
        <w:tc>
          <w:tcPr>
            <w:tcW w:type="dxa" w:w="555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聚类、风险标签、微地震检验、分类和SHAP</w:t>
            </w:r>
          </w:p>
        </w:tc>
      </w:tr>
      <w:tr>
        <w:trPr>
          <w:cantSplit/>
        </w:trPr>
        <w:tc>
          <w:tcPr>
            <w:tcW w:type="dxa" w:w="306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4 结果</w:t>
            </w:r>
          </w:p>
        </w:tc>
        <w:tc>
          <w:tcPr>
            <w:tcW w:type="dxa" w:w="136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2.5</w:t>
            </w:r>
          </w:p>
        </w:tc>
        <w:tc>
          <w:tcPr>
            <w:tcW w:type="dxa" w:w="555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以核心组合图支撑主要发现</w:t>
            </w:r>
          </w:p>
        </w:tc>
      </w:tr>
      <w:tr>
        <w:trPr>
          <w:cantSplit/>
        </w:trPr>
        <w:tc>
          <w:tcPr>
            <w:tcW w:type="dxa" w:w="306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5 讨论与6结论</w:t>
            </w:r>
          </w:p>
        </w:tc>
        <w:tc>
          <w:tcPr>
            <w:tcW w:type="dxa" w:w="136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1.0</w:t>
            </w:r>
          </w:p>
        </w:tc>
        <w:tc>
          <w:tcPr>
            <w:tcW w:type="dxa" w:w="555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力学解释、适用边界和定量结论</w:t>
            </w:r>
          </w:p>
        </w:tc>
      </w:tr>
      <w:tr>
        <w:trPr>
          <w:cantSplit/>
        </w:trPr>
        <w:tc>
          <w:tcPr>
            <w:tcW w:type="dxa" w:w="306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致谢与参考文献</w:t>
            </w:r>
          </w:p>
        </w:tc>
        <w:tc>
          <w:tcPr>
            <w:tcW w:type="dxa" w:w="136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0.5</w:t>
            </w:r>
          </w:p>
        </w:tc>
        <w:tc>
          <w:tcPr>
            <w:tcW w:type="dxa" w:w="555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以排版后实际占页为准</w:t>
            </w:r>
          </w:p>
        </w:tc>
      </w:tr>
    </w:tbl>
    <w:p>
      <w:pPr>
        <w:spacing w:after="0" w:before="0" w:line="80" w:lineRule="exact"/>
      </w:pPr>
      <w:r>
        <w:rPr>
          <w:rFonts w:ascii="Times New Roman" w:hAnsi="Times New Roman" w:eastAsia="SimSun" w:cs="Times New Roman"/>
          <w:b w:val="0"/>
          <w:color w:val="000000"/>
          <w:sz w:val="6"/>
        </w:rPr>
      </w:r>
    </w:p>
    <w:p>
      <w:pPr>
        <w:pStyle w:val="Heading2"/>
      </w:pPr>
      <w:r>
        <w:t>中文摘要的句序设计</w:t>
      </w:r>
    </w:p>
    <w:p>
      <w:r>
        <w:t>第1句说明深层页岩气多井平台压裂中，邻井压力响应形态复杂，单一压力幅值难以充分表征井间干扰。第2句提出研究目的：建立有物理证据支持的响应分类及压前风险预测方法。</w:t>
      </w:r>
    </w:p>
    <w:p>
      <w:r>
        <w:t>第3—4句交代研究区、有效配对样本数和监测资料，说明对比时序聚类、分析类别特征并用微地震检验。第5句说明利用地质工程参数训练分类模型并开展分组验证与SHAP分析。第6—8句依次报告最优类别数、微地震检验结果、预测指标及主要控制因素。最后一句说明方法可用于段级风险筛查与针对性监测。</w:t>
      </w:r>
    </w:p>
    <w:p>
      <w:pPr>
        <w:pStyle w:val="Heading2"/>
      </w:pPr>
      <w:r>
        <w:t>摘要结果段填充句式</w:t>
      </w:r>
    </w:p>
    <w:p>
      <w:r>
        <w:t>在【N】个有效段—邻井配对样本中识别出【K】类稳定压力响应模式。不同类型在【压力特征】和【微地震指标】上呈现【实测差异及不确定性】。采用【分组方式】评价时，【模型】的Macro-F1为【数值及区间】，高风险类召回率为【数值】。加入地质力学参数后，Macro-F1变化【百分点】；SHAP分析表明【变量】与【类别】的预测结果存在【具体关联】。</w:t>
      </w:r>
    </w:p>
    <w:p>
      <w:pPr>
        <w:pStyle w:val="Heading1"/>
        <w:pageBreakBefore/>
      </w:pPr>
      <w:r>
        <w:t>1 引言</w:t>
      </w:r>
    </w:p>
    <w:p>
      <w:pPr>
        <w:pStyle w:val="Heading2"/>
      </w:pPr>
      <w:r>
        <w:t>第一段 开发场景和研究问题</w:t>
      </w:r>
    </w:p>
    <w:p>
      <w:r>
        <w:t>核心论点：深层页岩气多井平台压裂存在井间相互作用，需要在段级识别邻井风险。先交代多井协同开发及水力裂缝与既有裂缝相互作用，再说明邻井可能出现异常压力、生产扰动或井筒完整性问题，最后落到“不同压力响应反映的干扰方式和风险程度并不一致”。</w:t>
      </w:r>
    </w:p>
    <w:p>
      <w:r>
        <w:t>建议写3—4句。损失幅度、压窜比例和区块统计必须引用实际资料。区分井间压裂干扰这一广义现象与具有流体连通证据的压窜事件，给后续风险解释留出证据边界。</w:t>
      </w:r>
    </w:p>
    <w:p>
      <w:pPr>
        <w:pStyle w:val="Heading2"/>
      </w:pPr>
      <w:r>
        <w:t>第二段 压力监测的价值与单指标局限</w:t>
      </w:r>
    </w:p>
    <w:p>
      <w:r>
        <w:t>核心论点：连续压力曲线同时包含幅值、起跳时刻、增长速率和停泵后恢复信息，单一峰值会丢失时序差异。先肯定压力监测的可操作性，再举出“相似峰值却有不同增长和恢复过程”的问题，进而提出按整段时序识别响应模式的必要性。</w:t>
      </w:r>
    </w:p>
    <w:p>
      <w:r>
        <w:t>压力变化可能涉及裂缝机械挤压、压力传播和水力连通等作用，其幅值还受井筒储集与流体压缩性影响。可引用Seth et al.（2021）和Cai and Dahi Taleghani（2022），避免把一次压力上涨直接等同于流体侵入。</w:t>
      </w:r>
    </w:p>
    <w:p>
      <w:pPr>
        <w:pStyle w:val="Heading2"/>
      </w:pPr>
      <w:r>
        <w:t>第三段 时序分类的机会及物理解释不足</w:t>
      </w:r>
    </w:p>
    <w:p>
      <w:r>
        <w:t>核心论点：时序聚类能够发现重复出现的压力形态，但统计上的分组仍需要工程解释。简述欧氏距离方法、DTW类方法与k-Shape处理形态和相位差异的思路，强调本研究比较它们对幅值、时滞和恢复过程的保留能力。</w:t>
      </w:r>
    </w:p>
    <w:p>
      <w:r>
        <w:t>随后引入微地震作为独立观测模态，利用事件位置、迁移方向和时间对应关系检验分类。这里提出的是证据补充方案，不提前承诺每一类都对应唯一压窜机制。方法来源可引用Paparrizos and Gravano（2015）、Cuturi and Blondel（2017）。</w:t>
      </w:r>
    </w:p>
    <w:p>
      <w:pPr>
        <w:pStyle w:val="Heading2"/>
      </w:pPr>
      <w:r>
        <w:t>第四段 压前预测与地质力学解释需求</w:t>
      </w:r>
    </w:p>
    <w:p>
      <w:r>
        <w:t>核心论点：历史压力分类只有与压前可用参数建立联系，才能用于新段风险筛查。按“井间空间关系—应力与岩石性质—天然裂缝—施工设计与历史状态”介绍候选影响因素，再说明需要通过可解释模型分析不同类别的判别依据。</w:t>
      </w:r>
    </w:p>
    <w:p>
      <w:r>
        <w:t>研究空缺应写成本文拟解决的具体问题，例如标签依据、独立观测检验和跨井泛化；不能在未完成系统检索时笼统宣称已有研究均未考虑这些方面。SHAP用于解释模型贡献，其结论再与地质力学认识对照。</w:t>
      </w:r>
    </w:p>
    <w:p>
      <w:pPr>
        <w:pStyle w:val="Heading2"/>
      </w:pPr>
      <w:r>
        <w:t>第五段 研究目标与贡献</w:t>
      </w:r>
    </w:p>
    <w:p>
      <w:r>
        <w:t>按研究顺序提出四项任务：比较时序聚类并建立稳定响应类型；结合微地震与现场记录解释风险；建立仅使用压前参数的分类预测模型；通过地质力学参数消融和SHAP分析揭示模型的主要判别依据。段末说明采用分组验证，检验方法在未参与训练的井或平台上的表现。</w:t>
      </w:r>
    </w:p>
    <w:p>
      <w:r>
        <w:t>本节建议最终压缩为5个自然段，中文起草约1000—1300字。图1技术路线可置于引言末或方法开头。</w:t>
      </w:r>
    </w:p>
    <w:p>
      <w:pPr>
        <w:pStyle w:val="Heading1"/>
        <w:pageBreakBefore/>
      </w:pPr>
      <w:r>
        <w:t>2 研究区与数据</w:t>
      </w:r>
    </w:p>
    <w:p>
      <w:pPr>
        <w:pStyle w:val="Heading2"/>
      </w:pPr>
      <w:r>
        <w:t>2.1 地质背景和平台布置</w:t>
      </w:r>
    </w:p>
    <w:p>
      <w:r>
        <w:t>以实际使用的川南深层页岩气平台为研究对象，说明目标层位、埋深范围、储层厚度、主要岩性、应力环境及天然裂缝资料来源。井号可按资料使用要求统一编码为Well A、Well B等，但保持井间几何与配对关系一致。</w:t>
      </w:r>
    </w:p>
    <w:p>
      <w:r>
        <w:t>配图应同时呈现井轨迹、段簇位置、监测邻井和最大水平主应力方向；剖面补充层位及垂向井距。不同井之间的距离要按对应段和有效监测区间计算，不能用井口间距代替。</w:t>
      </w:r>
    </w:p>
    <w:p>
      <w:pPr>
        <w:pStyle w:val="Heading2"/>
      </w:pPr>
      <w:r>
        <w:t>2.2 多源资料和用途</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3600"/>
        <w:gridCol w:w="4671"/>
      </w:tblGrid>
      <w:tr>
        <w:trPr>
          <w:cantSplit/>
          <w:tblHeader/>
        </w:trPr>
        <w:tc>
          <w:tcPr>
            <w:tcW w:type="dxa" w:w="1701"/>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资料</w:t>
            </w:r>
          </w:p>
        </w:tc>
        <w:tc>
          <w:tcPr>
            <w:tcW w:type="dxa" w:w="3600"/>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最低字段</w:t>
            </w:r>
          </w:p>
        </w:tc>
        <w:tc>
          <w:tcPr>
            <w:tcW w:type="dxa" w:w="4671"/>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在本文中的作用</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邻井压力</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时间、压力、测点类型、井况、采样间隔</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曲线聚类、响应标签及恢复特征</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施工与作业记录</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开停泵时间、段号、排量、液量、作业切换</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时间对齐、干扰归属和历史状态</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微地震</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XYZ、时间、定位质量；震级或能量如有</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分类的空间与时间检验</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地质和测井解释</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岩石力学、应力、层位、物性</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压前预测特征与力学讨论</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轨迹与射孔</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井轨迹、段界、簇位置、射孔时间</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段—邻井配对及几何特征</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天然裂缝与地震解释</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走向、倾角、发育区、解释置信度</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方位、断裂接近程度和结构特征</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邻井及历史施工状态</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开关井、生产或注入、既往段时序</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排除作业伪响应和补充先验状态</w:t>
            </w:r>
          </w:p>
        </w:tc>
      </w:tr>
    </w:tbl>
    <w:p>
      <w:pPr>
        <w:spacing w:after="0" w:before="0" w:line="80" w:lineRule="exact"/>
      </w:pPr>
      <w:r>
        <w:rPr>
          <w:rFonts w:ascii="Times New Roman" w:hAnsi="Times New Roman" w:eastAsia="SimSun" w:cs="Times New Roman"/>
          <w:b w:val="0"/>
          <w:color w:val="000000"/>
          <w:sz w:val="6"/>
        </w:rPr>
      </w:r>
    </w:p>
    <w:p>
      <w:pPr>
        <w:pStyle w:val="Heading2"/>
      </w:pPr>
      <w:r>
        <w:t>2.3 样本单元和资料覆盖</w:t>
      </w:r>
    </w:p>
    <w:p>
      <w:r>
        <w:t>每个样本唯一标识建议由“平台—施工井—段号—邻井”构成。同一施工段对应多口邻井时可以形成多个配对，但这些样本共享施工条件，不视为独立施工事件。记录有效施工段数、配对数、独立井数、平台数和有微地震的配对数。</w:t>
      </w:r>
    </w:p>
    <w:p>
      <w:r>
        <w:t>若最终沿用前期约1386个配对的统计口径，应先核对去重、异常剔除和有效时间窗；该数不能直接写成1386个独立压裂段。论文表1列原始样本、剔除原因、有效样本和各类资料覆盖比例。</w:t>
      </w:r>
    </w:p>
    <w:p>
      <w:pPr>
        <w:pStyle w:val="Heading2"/>
      </w:pPr>
      <w:r>
        <w:t>2.4 纳入与剔除规则</w:t>
      </w:r>
    </w:p>
    <w:p>
      <w:r>
        <w:t>纳入能明确归属施工段、具备有效压力基线及主要响应窗的配对。记录传感器饱和、长时间掉线、同时多井施工、邻井主动泄压和归属不清等情况。真正无明显响应的有效曲线保留；缺测或未覆盖完整响应过程的曲线记为不可判定，不能归入低风险类。</w:t>
      </w:r>
    </w:p>
    <w:p>
      <w:pPr>
        <w:pStyle w:val="Heading1"/>
        <w:pageBreakBefore/>
      </w:pPr>
      <w:r>
        <w:t>3 研究方法</w:t>
      </w:r>
    </w:p>
    <w:p>
      <w:pPr>
        <w:pStyle w:val="Heading2"/>
      </w:pPr>
      <w:r>
        <w:t>3.1 整体技术路线</w:t>
      </w:r>
    </w:p>
    <w:p>
      <w:pPr>
        <w:spacing w:line="240" w:lineRule="auto"/>
        <w:ind w:firstLine="0"/>
        <w:jc w:val="center"/>
      </w:pPr>
      <w:r>
        <w:drawing>
          <wp:inline xmlns:a="http://schemas.openxmlformats.org/drawingml/2006/main" xmlns:pic="http://schemas.openxmlformats.org/drawingml/2006/picture">
            <wp:extent cx="6228000" cy="1903214"/>
            <wp:docPr id="1" name="Picture 1" descr="历史压力构建标签，保留微地震检验标签，压前地质工程参数输入分类模型并开展分组测试和SHAP分析。"/>
            <wp:cNvGraphicFramePr>
              <a:graphicFrameLocks noChangeAspect="1"/>
            </wp:cNvGraphicFramePr>
            <a:graphic>
              <a:graphicData uri="http://schemas.openxmlformats.org/drawingml/2006/picture">
                <pic:pic>
                  <pic:nvPicPr>
                    <pic:cNvPr id="0" name="igs_workflow.png"/>
                    <pic:cNvPicPr/>
                  </pic:nvPicPr>
                  <pic:blipFill>
                    <a:blip r:embed="rId11"/>
                    <a:stretch>
                      <a:fillRect/>
                    </a:stretch>
                  </pic:blipFill>
                  <pic:spPr>
                    <a:xfrm>
                      <a:off x="0" y="0"/>
                      <a:ext cx="6228000" cy="1903214"/>
                    </a:xfrm>
                    <a:prstGeom prst="rect"/>
                  </pic:spPr>
                </pic:pic>
              </a:graphicData>
            </a:graphic>
          </wp:inline>
        </w:drawing>
      </w:r>
    </w:p>
    <w:p>
      <w:pPr>
        <w:pStyle w:val="Caption"/>
      </w:pPr>
      <w:r>
        <w:t>图件设计示意  历史响应标签构建与压前预测的两条数据路径</w:t>
      </w:r>
    </w:p>
    <w:p>
      <w:r>
        <w:t>施工曲线为历史压力序列提供事件边界；目标段施工过程中的邻井压力用于确定结果标签。预测时输入截止至目标段开泵前。微地震若参与开发阶段的类别解释，需另留未用于调整类别的样本开展最终检验。</w:t>
      </w:r>
    </w:p>
    <w:p>
      <w:pPr>
        <w:pStyle w:val="Heading2"/>
      </w:pPr>
      <w:r>
        <w:t>3.2 压力时序清洗与对齐</w:t>
      </w:r>
    </w:p>
    <w:p>
      <w:r>
        <w:t>首先统一时间戳、时区、计量单位和测点类型，将开泵前基线、泵注过程及停泵后响应分别标记。不同井的井口压力和井底压力不能直接混合；需要统一校正依据，或分层分析并保留测点类型。</w:t>
      </w:r>
    </w:p>
    <w:p>
      <w:r>
        <w:t>以稳定压前窗口的中位数作为基线，得到相对压力序列。保留基线压力及压前漂移作为元数据。若压前窗口已受前段扰动，应按预先规则调整窗口并注明，不能强行归零抹除累积作用。</w:t>
      </w:r>
    </w:p>
    <w:p>
      <w:pPr>
        <w:keepNext/>
        <w:spacing w:before="60" w:after="100" w:line="400" w:lineRule="atLeast"/>
        <w:ind w:firstLine="0"/>
        <w:jc w:val="center"/>
      </w:pPr>
      <m:oMath>
        <m:sSub>
          <m:e>
            <m:r>
              <w:rPr>
                <w:rFonts w:ascii="Cambria Math" w:hAnsi="Cambria Math"/>
                <w:sz w:val="23"/>
              </w:rPr>
              <m:t>p</m:t>
            </m:r>
          </m:e>
          <m:sub>
            <m:r>
              <w:rPr>
                <w:rFonts w:ascii="Cambria Math" w:hAnsi="Cambria Math"/>
                <w:sz w:val="23"/>
              </w:rPr>
              <m:t>0,i</m:t>
            </m:r>
          </m:sub>
        </m:sSub>
        <m:r>
          <w:rPr>
            <w:rFonts w:ascii="Cambria Math" w:hAnsi="Cambria Math"/>
            <w:sz w:val="23"/>
          </w:rPr>
          <m:t> = median {</m:t>
        </m:r>
        <m:sSub>
          <m:e>
            <m:r>
              <w:rPr>
                <w:rFonts w:ascii="Cambria Math" w:hAnsi="Cambria Math"/>
                <w:sz w:val="23"/>
              </w:rPr>
              <m:t>p</m:t>
            </m:r>
          </m:e>
          <m:sub>
            <m:r>
              <w:rPr>
                <w:rFonts w:ascii="Cambria Math" w:hAnsi="Cambria Math"/>
                <w:sz w:val="23"/>
              </w:rPr>
              <m:t>i</m:t>
            </m:r>
          </m:sub>
        </m:sSub>
        <m:r>
          <w:rPr>
            <w:rFonts w:ascii="Cambria Math" w:hAnsi="Cambria Math"/>
            <w:sz w:val="23"/>
          </w:rPr>
          <m:t>(t) : t ∈ </m:t>
        </m:r>
        <m:sSub>
          <m:e>
            <m:r>
              <w:rPr>
                <w:rFonts w:ascii="Cambria Math" w:hAnsi="Cambria Math"/>
                <w:sz w:val="23"/>
              </w:rPr>
              <m:t>W</m:t>
            </m:r>
          </m:e>
          <m:sub>
            <m:r>
              <w:rPr>
                <w:rFonts w:ascii="Cambria Math" w:hAnsi="Cambria Math"/>
                <w:sz w:val="23"/>
              </w:rPr>
              <m:t>pre</m:t>
            </m:r>
          </m:sub>
        </m:sSub>
        <m:r>
          <w:rPr>
            <w:rFonts w:ascii="Cambria Math" w:hAnsi="Cambria Math"/>
            <w:sz w:val="23"/>
          </w:rPr>
          <m:t>}</m:t>
        </m:r>
      </m:oMath>
      <w:r>
        <w:t xml:space="preserve">    (1)</w:t>
      </w:r>
    </w:p>
    <w:p>
      <w:pPr>
        <w:keepNext/>
        <w:spacing w:before="60" w:after="100" w:line="400" w:lineRule="atLeast"/>
        <w:ind w:firstLine="0"/>
        <w:jc w:val="center"/>
      </w:pPr>
      <m:oMath>
        <m:sSub>
          <m:e>
            <m:r>
              <w:rPr>
                <w:rFonts w:ascii="Cambria Math" w:hAnsi="Cambria Math"/>
                <w:sz w:val="23"/>
              </w:rPr>
              <m:t>Δp</m:t>
            </m:r>
          </m:e>
          <m:sub>
            <m:r>
              <w:rPr>
                <w:rFonts w:ascii="Cambria Math" w:hAnsi="Cambria Math"/>
                <w:sz w:val="23"/>
              </w:rPr>
              <m:t>i</m:t>
            </m:r>
          </m:sub>
        </m:sSub>
        <m:r>
          <w:rPr>
            <w:rFonts w:ascii="Cambria Math" w:hAnsi="Cambria Math"/>
            <w:sz w:val="23"/>
          </w:rPr>
          <m:t>(t) = </m:t>
        </m:r>
        <m:sSub>
          <m:e>
            <m:r>
              <w:rPr>
                <w:rFonts w:ascii="Cambria Math" w:hAnsi="Cambria Math"/>
                <w:sz w:val="23"/>
              </w:rPr>
              <m:t>p</m:t>
            </m:r>
          </m:e>
          <m:sub>
            <m:r>
              <w:rPr>
                <w:rFonts w:ascii="Cambria Math" w:hAnsi="Cambria Math"/>
                <w:sz w:val="23"/>
              </w:rPr>
              <m:t>i</m:t>
            </m:r>
          </m:sub>
        </m:sSub>
        <m:r>
          <w:rPr>
            <w:rFonts w:ascii="Cambria Math" w:hAnsi="Cambria Math"/>
            <w:sz w:val="23"/>
          </w:rPr>
          <m:t>(t) − </m:t>
        </m:r>
        <m:sSub>
          <m:e>
            <m:r>
              <w:rPr>
                <w:rFonts w:ascii="Cambria Math" w:hAnsi="Cambria Math"/>
                <w:sz w:val="23"/>
              </w:rPr>
              <m:t>p</m:t>
            </m:r>
          </m:e>
          <m:sub>
            <m:r>
              <w:rPr>
                <w:rFonts w:ascii="Cambria Math" w:hAnsi="Cambria Math"/>
                <w:sz w:val="23"/>
              </w:rPr>
              <m:t>0,i</m:t>
            </m:r>
          </m:sub>
        </m:sSub>
      </m:oMath>
      <w:r>
        <w:t xml:space="preserve">    (2)</w:t>
      </w:r>
    </w:p>
    <w:p>
      <w:r>
        <w:t>短缺口在不跨越开停泵、突跳等关键事件时才允许插值；长缺口保留掩码或剔除。仅处理明确的故障尖峰，不按箱线图阈值删除真实突升。采用多级平滑强度检查，确认起跳、峰值及停泵后衰减没有被过度削弱。</w:t>
      </w:r>
    </w:p>
    <w:p>
      <w:r>
        <w:t>主分析保留物理时间轴与MPa幅值，按统一间隔重采样；施工时长不同时，可比较分阶段等长表示。时间归一化只用于形态对照，原始响应时滞、泵注时长和恢复时间必须单独保存。DTW允许的时间偏移设置上限，防止把早期突升和晚期响应过度对齐。</w:t>
      </w:r>
    </w:p>
    <w:p>
      <w:r>
        <w:t>建议提取辅助描述量：峰值压差、响应起始时滞、最大有效增长速率、持续时间、正压差时间积分、停泵后残余压力及恢复比例。阈值依据仪器精度和基线噪声在开发集确定，恢复比例只对峰值足够大且观察窗完整的曲线计算。</w:t>
      </w:r>
    </w:p>
    <w:p>
      <w:pPr>
        <w:pStyle w:val="Heading2"/>
        <w:pageBreakBefore/>
      </w:pPr>
      <w:r>
        <w:t>3.3 时序聚类方法对比与选择</w:t>
      </w:r>
    </w:p>
    <w:p>
      <w:r>
        <w:t>核心问题是能否获得跨初始化、跨采样设置仍保持稳定的类型。建议先比较三种主方法，再按已有实验增加一种增强方法，避免仅为了增加算法名称扩大工作量。</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24"/>
        <w:gridCol w:w="3600"/>
        <w:gridCol w:w="4048"/>
      </w:tblGrid>
      <w:tr>
        <w:trPr>
          <w:cantSplit/>
          <w:tblHeader/>
        </w:trPr>
        <w:tc>
          <w:tcPr>
            <w:tcW w:type="dxa" w:w="2324"/>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方法</w:t>
            </w:r>
          </w:p>
        </w:tc>
        <w:tc>
          <w:tcPr>
            <w:tcW w:type="dxa" w:w="3600"/>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主要作用</w:t>
            </w:r>
          </w:p>
        </w:tc>
        <w:tc>
          <w:tcPr>
            <w:tcW w:type="dxa" w:w="4048"/>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需要控制的问题</w:t>
            </w:r>
          </w:p>
        </w:tc>
      </w:tr>
      <w:tr>
        <w:trPr>
          <w:cantSplit/>
        </w:trPr>
        <w:tc>
          <w:tcPr>
            <w:tcW w:type="dxa" w:w="2324"/>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欧氏K-means</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简单基线，考察固定时间点的差异</w:t>
            </w:r>
          </w:p>
        </w:tc>
        <w:tc>
          <w:tcPr>
            <w:tcW w:type="dxa" w:w="4048"/>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对错位敏感；使用同一事件对齐</w:t>
            </w:r>
          </w:p>
        </w:tc>
      </w:tr>
      <w:tr>
        <w:trPr>
          <w:cantSplit/>
        </w:trPr>
        <w:tc>
          <w:tcPr>
            <w:tcW w:type="dxa" w:w="2324"/>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DTW-K-means</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容纳有限时滞和伸缩，比较整体响应</w:t>
            </w:r>
          </w:p>
        </w:tc>
        <w:tc>
          <w:tcPr>
            <w:tcW w:type="dxa" w:w="4048"/>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限制扭曲窗口；明确使用DTW中心估计</w:t>
            </w:r>
          </w:p>
        </w:tc>
      </w:tr>
      <w:tr>
        <w:trPr>
          <w:cantSplit/>
        </w:trPr>
        <w:tc>
          <w:tcPr>
            <w:tcW w:type="dxa" w:w="2324"/>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k-Shape</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检查主要形态是否可重复识别</w:t>
            </w:r>
          </w:p>
        </w:tc>
        <w:tc>
          <w:tcPr>
            <w:tcW w:type="dxa" w:w="4048"/>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单曲线标准化会去除幅值，不能直接代表风险</w:t>
            </w:r>
          </w:p>
        </w:tc>
      </w:tr>
      <w:tr>
        <w:trPr>
          <w:cantSplit/>
        </w:trPr>
        <w:tc>
          <w:tcPr>
            <w:tcW w:type="dxa" w:w="2324"/>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Soft-DTW或混合距离K-medoids</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可选增强，兼顾形态及物理描述量</w:t>
            </w:r>
          </w:p>
        </w:tc>
        <w:tc>
          <w:tcPr>
            <w:tcW w:type="dxa" w:w="4048"/>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前者报告平滑参数；后者报告距离权重和尺度</w:t>
            </w:r>
          </w:p>
        </w:tc>
      </w:tr>
    </w:tbl>
    <w:p>
      <w:pPr>
        <w:spacing w:after="0" w:before="0" w:line="80" w:lineRule="exact"/>
      </w:pPr>
      <w:r>
        <w:rPr>
          <w:rFonts w:ascii="Times New Roman" w:hAnsi="Times New Roman" w:eastAsia="SimSun" w:cs="Times New Roman"/>
          <w:b w:val="0"/>
          <w:color w:val="000000"/>
          <w:sz w:val="6"/>
        </w:rPr>
      </w:r>
    </w:p>
    <w:p>
      <w:r>
        <w:t>建议的主输入是扣除基线后的压力序列，幅值使用训练数据统一尺度进行变换，使不同样本的强弱差异得以保留。同时单独做逐曲线标准化的“形态版本”，比较幅值保留与去除后的类别变化。k-Shape为形态基线，其幅值和时滞描述量留到风险解释阶段使用（Paparrizos and Gravano, 2015）。</w:t>
      </w:r>
    </w:p>
    <w:p>
      <w:r>
        <w:t>若采用形态距离与物理描述量组合，应将DTW距离及各描述量分别在开发数据上定尺度，再使用适合任意距离矩阵的K-medoids。不能把任意混合距离直接套入普通K-means并声称优化目标一致。Soft-DTW作为可选方法可引用Cuturi and Blondel（2017），实现可参考Tavenard et al.（2020）。</w:t>
      </w:r>
    </w:p>
    <w:p>
      <w:pPr>
        <w:pStyle w:val="Heading2"/>
      </w:pPr>
      <w:r>
        <w:t>类别数和稳定性</w:t>
      </w:r>
    </w:p>
    <w:p>
      <w:r>
        <w:t>可先扫描K＝2—6，范围可随样本覆盖调整，并采用多次随机初始化。观察簇规模、代表曲线和边界样本，避免把极少数异常井况误认为稳定类别。若某类只有少量样本，应报告其覆盖不足，不能通过复制窗口人为扩充。</w:t>
      </w:r>
    </w:p>
    <w:p>
      <w:r>
        <w:t>内部指标包括轮廓系数等；距离度量需与相应方法一致。不同距离下的轮廓系数不能单独直接决定胜负，跨方法共同依据应包括重采样稳定性、类别规模、原始压力特征可解释性及独立证据。DBI、CH仅在明确定义的欧氏特征空间补充报告。</w:t>
      </w:r>
    </w:p>
    <w:p>
      <w:r>
        <w:t>在重复初始化、分组重采样和预处理扰动下，用ARI等衡量同一批样本的标签一致性。这里的ARI是稳定性指标，不是有真实类别标签时的准确率。二维降维图仅展示分布，不作为聚类有效性的主要证据。</w:t>
      </w:r>
    </w:p>
    <w:p>
      <w:pPr>
        <w:pStyle w:val="Heading2"/>
      </w:pPr>
      <w:r>
        <w:t>预期产出</w:t>
      </w:r>
    </w:p>
    <w:p>
      <w:r>
        <w:t>输出各方法的K值、稳定性、簇规模、计算耗时和代表曲线。最优方法按综合证据确定，不提前指定DTW-K-means一定最好。</w:t>
      </w:r>
    </w:p>
    <w:p>
      <w:pPr>
        <w:pStyle w:val="Heading2"/>
        <w:pageBreakBefore/>
      </w:pPr>
      <w:r>
        <w:t>3.4 压力响应类型与压窜风险标签</w:t>
      </w:r>
    </w:p>
    <w:p>
      <w:r>
        <w:t>先以C1、C2等记录统计簇，再按曲线特征命名。以下类型仅用于组织解释，最终可合并、拆分或更名；不预设最终类别数。</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24"/>
        <w:gridCol w:w="3600"/>
        <w:gridCol w:w="4048"/>
      </w:tblGrid>
      <w:tr>
        <w:trPr>
          <w:cantSplit/>
          <w:tblHeader/>
        </w:trPr>
        <w:tc>
          <w:tcPr>
            <w:tcW w:type="dxa" w:w="2324"/>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候选响应类型</w:t>
            </w:r>
          </w:p>
        </w:tc>
        <w:tc>
          <w:tcPr>
            <w:tcW w:type="dxa" w:w="3600"/>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需要观察的压力特征</w:t>
            </w:r>
          </w:p>
        </w:tc>
        <w:tc>
          <w:tcPr>
            <w:tcW w:type="dxa" w:w="4048"/>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风险解释需要的证据</w:t>
            </w:r>
          </w:p>
        </w:tc>
      </w:tr>
      <w:tr>
        <w:trPr>
          <w:cantSplit/>
        </w:trPr>
        <w:tc>
          <w:tcPr>
            <w:tcW w:type="dxa" w:w="2324"/>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弱响应或近稳态型</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相对基线变化小，未见稳定起跳</w:t>
            </w:r>
          </w:p>
        </w:tc>
        <w:tc>
          <w:tcPr>
            <w:tcW w:type="dxa" w:w="4048"/>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确认监测有效；只能说明该窗口响应较弱</w:t>
            </w:r>
          </w:p>
        </w:tc>
      </w:tr>
      <w:tr>
        <w:trPr>
          <w:cantSplit/>
        </w:trPr>
        <w:tc>
          <w:tcPr>
            <w:tcW w:type="dxa" w:w="2324"/>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渐进持续型</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缓慢上升，持续时间较长，残余明显</w:t>
            </w:r>
          </w:p>
        </w:tc>
        <w:tc>
          <w:tcPr>
            <w:tcW w:type="dxa" w:w="4048"/>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结合幅值、井况与空间活动，判断持续干扰</w:t>
            </w:r>
          </w:p>
        </w:tc>
      </w:tr>
      <w:tr>
        <w:trPr>
          <w:cantSplit/>
        </w:trPr>
        <w:tc>
          <w:tcPr>
            <w:tcW w:type="dxa" w:w="2324"/>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突升持续型</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有效增长速率大，压力抬升并持续</w:t>
            </w:r>
          </w:p>
        </w:tc>
        <w:tc>
          <w:tcPr>
            <w:tcW w:type="dxa" w:w="4048"/>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优先核查显著连通风险；强度仍需幅值与后果支持</w:t>
            </w:r>
          </w:p>
        </w:tc>
      </w:tr>
      <w:tr>
        <w:trPr>
          <w:cantSplit/>
        </w:trPr>
        <w:tc>
          <w:tcPr>
            <w:tcW w:type="dxa" w:w="2324"/>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瞬态回落型</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短时变化，停泵后快速恢复或反转</w:t>
            </w:r>
          </w:p>
        </w:tc>
        <w:tc>
          <w:tcPr>
            <w:tcW w:type="dxa" w:w="4048"/>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核查机械作用、作业变化和短时连通等解释</w:t>
            </w:r>
          </w:p>
        </w:tc>
      </w:tr>
      <w:tr>
        <w:trPr>
          <w:cantSplit/>
        </w:trPr>
        <w:tc>
          <w:tcPr>
            <w:tcW w:type="dxa" w:w="2324"/>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复合或多阶跃型</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多次起跳、台阶或叠加趋势</w:t>
            </w:r>
          </w:p>
        </w:tc>
        <w:tc>
          <w:tcPr>
            <w:tcW w:type="dxa" w:w="4048"/>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检查多源施工及前段延续；必要时标为待定</w:t>
            </w:r>
          </w:p>
        </w:tc>
      </w:tr>
    </w:tbl>
    <w:p>
      <w:pPr>
        <w:spacing w:after="0" w:before="0" w:line="80" w:lineRule="exact"/>
      </w:pPr>
      <w:r>
        <w:rPr>
          <w:rFonts w:ascii="Times New Roman" w:hAnsi="Times New Roman" w:eastAsia="SimSun" w:cs="Times New Roman"/>
          <w:b w:val="0"/>
          <w:color w:val="000000"/>
          <w:sz w:val="6"/>
        </w:rPr>
      </w:r>
    </w:p>
    <w:p>
      <w:r>
        <w:t>风险标签建议分为低、中、高三级，另设“待定”状态。类别到风险的映射依据应包括压力强度、持续性、时滞、停泵后恢复、测量条件和独立现场证据；若同一形态内部幅值差异很大，可形成不同风险标签。反之，不同形态也可能落入同一风险级别。</w:t>
      </w:r>
    </w:p>
    <w:p>
      <w:pPr>
        <w:pStyle w:val="Heading2"/>
      </w:pPr>
      <w:r>
        <w:t>明确标签定义与证据等级</w:t>
      </w:r>
    </w:p>
    <w:p>
      <w:r>
        <w:t>论文同时保留“响应类型”和“风险等级”两列。主预测任务可采用经解释后的风险等级，响应类型预测作为补充；如果工程后果资料不足，则明确称为“压力响应关联的压窜风险等级”，其评价对象是该标签体系的可预测性。</w:t>
      </w:r>
    </w:p>
    <w:p>
      <w:r>
        <w:t>独立证据可分为：有示踪或直接流体连通记录；有多源监测与现场异常记录相互支持；仅有压力响应。证据等级反映判定可信程度，不等于风险高低。未发生可见损失不能自动等同于无风险，压力弱也不能证明完全不存在井间联系。</w:t>
      </w:r>
    </w:p>
    <w:p>
      <w:pPr>
        <w:pStyle w:val="Heading2"/>
      </w:pPr>
      <w:r>
        <w:t>避免循环论证</w:t>
      </w:r>
    </w:p>
    <w:p>
      <w:r>
        <w:t>用于定义类别的峰值、斜率差异，只能说明类别具有这些特征，不能再当作外部验证。若根据微地震结果反复修改风险映射，该批微地震属于标签开发资料；最终验证应使用另外的保留样本。类别命名和映射规则在测试前冻结。</w:t>
      </w:r>
    </w:p>
    <w:p>
      <w:r>
        <w:t>建议由两名熟悉施工过程的解释人员在不知道模型预测的情况下核查典型和边界样本，记录分歧及一致性。若确无独立解释人员，则如实写成单人规则解释与敏感性检查。</w:t>
      </w:r>
    </w:p>
    <w:p>
      <w:pPr>
        <w:pStyle w:val="Heading2"/>
        <w:pageBreakBefore/>
      </w:pPr>
      <w:r>
        <w:t>3.5 基于微地震的时空合理性检验</w:t>
      </w:r>
    </w:p>
    <w:p>
      <w:r>
        <w:t>检验对象是压力类别是否对应不同的裂缝活动特征。仅在微地震覆盖、定位质量及时间对应可用的配对子集中分析，并报告该子集与全样本的井距、施工规模和类别构成差异。</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24"/>
        <w:gridCol w:w="3600"/>
        <w:gridCol w:w="4048"/>
      </w:tblGrid>
      <w:tr>
        <w:trPr>
          <w:cantSplit/>
          <w:tblHeader/>
        </w:trPr>
        <w:tc>
          <w:tcPr>
            <w:tcW w:type="dxa" w:w="2324"/>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检验维度</w:t>
            </w:r>
          </w:p>
        </w:tc>
        <w:tc>
          <w:tcPr>
            <w:tcW w:type="dxa" w:w="3600"/>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建议量化指标</w:t>
            </w:r>
          </w:p>
        </w:tc>
        <w:tc>
          <w:tcPr>
            <w:tcW w:type="dxa" w:w="4048"/>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计算与解释要点</w:t>
            </w:r>
          </w:p>
        </w:tc>
      </w:tr>
      <w:tr>
        <w:trPr>
          <w:cantSplit/>
        </w:trPr>
        <w:tc>
          <w:tcPr>
            <w:tcW w:type="dxa" w:w="2324"/>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空间接近</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事件到邻井有效轨迹的距离分位数d10、d50</w:t>
            </w:r>
          </w:p>
        </w:tc>
        <w:tc>
          <w:tcPr>
            <w:tcW w:type="dxa" w:w="4048"/>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使用三维最近距离；不依赖单个最远事件</w:t>
            </w:r>
          </w:p>
        </w:tc>
      </w:tr>
      <w:tr>
        <w:trPr>
          <w:cantSplit/>
        </w:trPr>
        <w:tc>
          <w:tcPr>
            <w:tcW w:type="dxa" w:w="2324"/>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邻井侧集中</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预定邻井邻域内事件数占比</w:t>
            </w:r>
          </w:p>
        </w:tc>
        <w:tc>
          <w:tcPr>
            <w:tcW w:type="dxa" w:w="4048"/>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邻域半径依定位误差与几何设置，并做敏感性分析</w:t>
            </w:r>
          </w:p>
        </w:tc>
      </w:tr>
      <w:tr>
        <w:trPr>
          <w:cantSplit/>
        </w:trPr>
        <w:tc>
          <w:tcPr>
            <w:tcW w:type="dxa" w:w="2324"/>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迁移方向</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事件云主方向与段—邻井连线夹角</w:t>
            </w:r>
          </w:p>
        </w:tc>
        <w:tc>
          <w:tcPr>
            <w:tcW w:type="dxa" w:w="4048"/>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在相同时间窗内计算，区分平面和三维方向</w:t>
            </w:r>
          </w:p>
        </w:tc>
      </w:tr>
      <w:tr>
        <w:trPr>
          <w:cantSplit/>
        </w:trPr>
        <w:tc>
          <w:tcPr>
            <w:tcW w:type="dxa" w:w="2324"/>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时间对应</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事件活动接近时刻与压力起跳的时间差</w:t>
            </w:r>
          </w:p>
        </w:tc>
        <w:tc>
          <w:tcPr>
            <w:tcW w:type="dxa" w:w="4048"/>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允许时差及误差；不可预设两者同步</w:t>
            </w:r>
          </w:p>
        </w:tc>
      </w:tr>
      <w:tr>
        <w:trPr>
          <w:cantSplit/>
        </w:trPr>
        <w:tc>
          <w:tcPr>
            <w:tcW w:type="dxa" w:w="2324"/>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扩展与越层</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事件高度范围、跨层比例、邻井侧延伸</w:t>
            </w:r>
          </w:p>
        </w:tc>
        <w:tc>
          <w:tcPr>
            <w:tcW w:type="dxa" w:w="4048"/>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使用稳健分位范围并标出目标层与隔层</w:t>
            </w:r>
          </w:p>
        </w:tc>
      </w:tr>
      <w:tr>
        <w:trPr>
          <w:cantSplit/>
        </w:trPr>
        <w:tc>
          <w:tcPr>
            <w:tcW w:type="dxa" w:w="2324"/>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活动强度</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单位有效时长事件数、震级或能量分布</w:t>
            </w:r>
          </w:p>
        </w:tc>
        <w:tc>
          <w:tcPr>
            <w:tcW w:type="dxa" w:w="4048"/>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匹配检出能力；能量来源和单位必须一致</w:t>
            </w:r>
          </w:p>
        </w:tc>
      </w:tr>
    </w:tbl>
    <w:p>
      <w:pPr>
        <w:spacing w:after="0" w:before="0" w:line="80" w:lineRule="exact"/>
      </w:pPr>
      <w:r>
        <w:rPr>
          <w:rFonts w:ascii="Times New Roman" w:hAnsi="Times New Roman" w:eastAsia="SimSun" w:cs="Times New Roman"/>
          <w:b w:val="0"/>
          <w:color w:val="000000"/>
          <w:sz w:val="6"/>
        </w:rPr>
      </w:r>
    </w:p>
    <w:p>
      <w:r>
        <w:t>微地震事件位置统一坐标、海拔或深度基准，并检查射孔位置。相邻或重叠施工窗口需先做归属；不能把同一批事件重复分配给多个段，造成表观证据增强。微地震实际观测段较少时，采用有明确边界的案例检验，不声称全样本统计验证。</w:t>
      </w:r>
    </w:p>
    <w:p>
      <w:pPr>
        <w:pStyle w:val="Heading2"/>
      </w:pPr>
      <w:r>
        <w:t>检验设计</w:t>
      </w:r>
    </w:p>
    <w:p>
      <w:r>
        <w:t>优先选取不同类别中井距、液量及监测条件相近的配对，比较事件距离和邻井侧集中程度；全子集分析再用分组重采样或含井效应的模型补充。每个点代表一个段—邻井配对，事件数不是独立样本量。</w:t>
      </w:r>
    </w:p>
    <w:p>
      <w:r>
        <w:t>预期支持的方向包括：持续强响应类可能更接近邻井、邻井侧活动更明显，弱响应类可能缺乏相应空间接近。该方向是检验假设；若无差异，应讨论机械作用、定位精度或资料覆盖，而不能通过挑选案例强行验证。</w:t>
      </w:r>
    </w:p>
    <w:p>
      <w:r>
        <w:t>报告各类样本数、中位数、离散范围及组间差异区间。样本量允许时使用Kruskal–Wallis或适当回归，并对多重比较作校正；有重复井或同段多邻井时，应采用相应分组方法处理依赖。</w:t>
      </w:r>
    </w:p>
    <w:p>
      <w:pPr>
        <w:pStyle w:val="Heading2"/>
      </w:pPr>
      <w:r>
        <w:t>解释边界</w:t>
      </w:r>
    </w:p>
    <w:p>
      <w:r>
        <w:t>微地震主要反映可检出的岩体破裂或滑移活动。事件云靠近邻井是支持性证据，不能直接当作连续、导流的水力裂缝网络；无事件也不能证明无裂缝。将示踪、邻井流体或作业记录与微地震分开表述（Cai and Dahi Taleghani, 2022）。</w:t>
      </w:r>
    </w:p>
    <w:p>
      <w:pPr>
        <w:pStyle w:val="Heading2"/>
        <w:pageBreakBefore/>
      </w:pPr>
      <w:r>
        <w:t>3.6 地质力学与地质工程特征设计</w:t>
      </w:r>
    </w:p>
    <w:p>
      <w:r>
        <w:t>候选库按资料可获得性分层，先选择约12—18项可追溯变量，再由消融决定是否扩展。优先采用实测或标定解释值；同源派生量作分组消融，避免无筛选纳入。资料不足的高级力学量保留为后续方向。</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3600"/>
        <w:gridCol w:w="4671"/>
      </w:tblGrid>
      <w:tr>
        <w:trPr>
          <w:cantSplit/>
          <w:tblHeader/>
        </w:trPr>
        <w:tc>
          <w:tcPr>
            <w:tcW w:type="dxa" w:w="1701"/>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参数组</w:t>
            </w:r>
          </w:p>
        </w:tc>
        <w:tc>
          <w:tcPr>
            <w:tcW w:type="dxa" w:w="3600"/>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优先候选参数与单位</w:t>
            </w:r>
          </w:p>
        </w:tc>
        <w:tc>
          <w:tcPr>
            <w:tcW w:type="dxa" w:w="4671"/>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来源及物理含义</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井间距离</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段中心至邻井有效轨迹三维距离、水平距、垂向距 m</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轨迹和射孔；表征接近与越层条件</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方位关系</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井间连线与最大水平主应力夹角 °</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轨迹及应力方位；分析方向性联系</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层位关系</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相同小层、垂向层位差、有效储层厚度 m</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分层解释；避免仅用几何距离解释</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水平应力</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最大和最小水平主应力、水平应力差 MPa</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校准测井或力学模型；表征应力环境</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应力非均质</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段内应力差标准差、P90−P10 MPa</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沿井解释；表征段内变化和局部弱部位</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隔层约束</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上下隔层厚度 m、隔层与储层最小水平应力差 MPa</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层间约束；上下隔层分别计算</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弹性性质</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静态杨氏模量 GPa、泊松比</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岩心或经动静校正测井；反映变形响应</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强度与脆性</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抗拉强度 MPa、统一定义的脆性指数</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实测优先；脆性不能简单等同压窜风险</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天然裂缝强度</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成像裂缝线密度 条/m、裂缝带宽 m</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成像测井或地震解释；明确尺度与置信度</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裂缝方位</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主裂缝走向与应力方向夹角 °</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两种方位均需独立来源，按轴向角处理</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断层接近</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到解释断层的最短距离 m、断层级别</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地震解释；距离与解释不确定性同步记录</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先验孔隙压力</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孔隙压力 MPa、邻井压前基线压力 MPa</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地层压力与井筒压力分别定义，不能互代</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储层性质</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孔隙度 %、渗透率 mD、TOC %、黏土或石英含量 %</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测井解释或岩心；用于背景差异控制</w:t>
            </w:r>
          </w:p>
        </w:tc>
      </w:tr>
    </w:tbl>
    <w:p>
      <w:pPr>
        <w:spacing w:after="0" w:before="0" w:line="80" w:lineRule="exact"/>
      </w:pPr>
      <w:r>
        <w:rPr>
          <w:rFonts w:ascii="Times New Roman" w:hAnsi="Times New Roman" w:eastAsia="SimSun" w:cs="Times New Roman"/>
          <w:b w:val="0"/>
          <w:color w:val="000000"/>
          <w:sz w:val="6"/>
        </w:rPr>
      </w:r>
    </w:p>
    <w:p>
      <w:r>
        <w:t>几何特征需为每个配对单独计算；地质力学段属性可采用平均值、标准差和稳健分位差，但根据独立样本量控制维度。孔隙度、TOC等主要是辅助控制量，论文主线应落在应力、裂缝及空间关系。</w:t>
      </w:r>
    </w:p>
    <w:p>
      <w:pPr>
        <w:keepNext/>
        <w:spacing w:before="60" w:after="100" w:line="400" w:lineRule="atLeast"/>
        <w:ind w:firstLine="0"/>
        <w:jc w:val="center"/>
      </w:pPr>
      <m:oMath>
        <m:sSub>
          <m:e>
            <m:r>
              <w:rPr>
                <w:rFonts w:ascii="Cambria Math" w:hAnsi="Cambria Math"/>
                <w:sz w:val="23"/>
              </w:rPr>
              <m:t>Δσ</m:t>
            </m:r>
          </m:e>
          <m:sub>
            <m:r>
              <w:rPr>
                <w:rFonts w:ascii="Cambria Math" w:hAnsi="Cambria Math"/>
                <w:sz w:val="23"/>
              </w:rPr>
              <m:t>h</m:t>
            </m:r>
          </m:sub>
        </m:sSub>
        <m:r>
          <w:rPr>
            <w:rFonts w:ascii="Cambria Math" w:hAnsi="Cambria Math"/>
            <w:sz w:val="23"/>
          </w:rPr>
          <m:t> = </m:t>
        </m:r>
        <m:sSub>
          <m:e>
            <m:r>
              <w:rPr>
                <w:rFonts w:ascii="Cambria Math" w:hAnsi="Cambria Math"/>
                <w:sz w:val="23"/>
              </w:rPr>
              <m:t>σ</m:t>
            </m:r>
          </m:e>
          <m:sub>
            <m:r>
              <w:rPr>
                <w:rFonts w:ascii="Cambria Math" w:hAnsi="Cambria Math"/>
                <w:sz w:val="23"/>
              </w:rPr>
              <m:t>Hmax</m:t>
            </m:r>
          </m:sub>
        </m:sSub>
        <m:r>
          <w:rPr>
            <w:rFonts w:ascii="Cambria Math" w:hAnsi="Cambria Math"/>
            <w:sz w:val="23"/>
          </w:rPr>
          <m:t> − </m:t>
        </m:r>
        <m:sSub>
          <m:e>
            <m:r>
              <w:rPr>
                <w:rFonts w:ascii="Cambria Math" w:hAnsi="Cambria Math"/>
                <w:sz w:val="23"/>
              </w:rPr>
              <m:t>σ</m:t>
            </m:r>
          </m:e>
          <m:sub>
            <m:r>
              <w:rPr>
                <w:rFonts w:ascii="Cambria Math" w:hAnsi="Cambria Math"/>
                <w:sz w:val="23"/>
              </w:rPr>
              <m:t>hmin</m:t>
            </m:r>
          </m:sub>
        </m:sSub>
      </m:oMath>
      <w:r>
        <w:t xml:space="preserve">    (3)</w:t>
      </w:r>
    </w:p>
    <w:p>
      <w:r>
        <w:t>水平应力差定义为最大与最小水平主应力之差。若另用归一化应力差，需说明分母及接近零时处理。力学特征的量纲、动静态标定和空间尺度在论文表2或补充说明中统一列出。</w:t>
      </w:r>
    </w:p>
    <w:p>
      <w:pPr>
        <w:pStyle w:val="Heading2"/>
        <w:pageBreakBefore/>
      </w:pPr>
      <w:r>
        <w:t>3.6 地质力学特征的增强项</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3600"/>
        <w:gridCol w:w="4671"/>
      </w:tblGrid>
      <w:tr>
        <w:trPr>
          <w:cantSplit/>
          <w:tblHeader/>
        </w:trPr>
        <w:tc>
          <w:tcPr>
            <w:tcW w:type="dxa" w:w="1701"/>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增强候选</w:t>
            </w:r>
          </w:p>
        </w:tc>
        <w:tc>
          <w:tcPr>
            <w:tcW w:type="dxa" w:w="3600"/>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需要的附加资料</w:t>
            </w:r>
          </w:p>
        </w:tc>
        <w:tc>
          <w:tcPr>
            <w:tcW w:type="dxa" w:w="4671"/>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使用条件</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有效最小水平应力 MPa</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孔隙压力及Biot系数</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明确假设，不能默认各井相同</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天然裂缝面应力 MPa</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三维应力张量、裂缝走向倾角、缝内压力</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计算有效法向与剪应力；缺倾角时不能完整计算</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滑移倾向与失稳裕度</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上述资料及摩擦系数、黏聚力</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反映力学易活化性，不等于已连通</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层间模量对比</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上下层动静校正的弹性参数</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分上下界面，避免混合不同来源</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既往压裂应力变化 MPa</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经校准的应力阴影或位移不连续模型</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区分模拟量与实测量，不能事后反推再预测</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压力耗竭幅度与梯度</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原始和压前孔隙压力、空间模型</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资料缺失时不以生产时长直接替代</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天然裂缝网络连通代理</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压前裂缝解释网络及分辨率</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名称注明代理指标，不能用本段压后微地震回填</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既往压裂影响</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压前已完成邻近段数、累计液量、距离与时间间隔</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严格按目标段开泵前截断</w:t>
            </w:r>
          </w:p>
        </w:tc>
      </w:tr>
    </w:tbl>
    <w:p>
      <w:pPr>
        <w:spacing w:after="0" w:before="0" w:line="80" w:lineRule="exact"/>
      </w:pPr>
      <w:r>
        <w:rPr>
          <w:rFonts w:ascii="Times New Roman" w:hAnsi="Times New Roman" w:eastAsia="SimSun" w:cs="Times New Roman"/>
          <w:b w:val="0"/>
          <w:color w:val="000000"/>
          <w:sz w:val="6"/>
        </w:rPr>
      </w:r>
    </w:p>
    <w:p>
      <w:pPr>
        <w:pStyle w:val="Heading2"/>
      </w:pPr>
      <w:r>
        <w:t>两个可选力学派生量</w:t>
      </w:r>
    </w:p>
    <w:p>
      <w:pPr>
        <w:keepNext/>
        <w:spacing w:before="60" w:after="100" w:line="620" w:lineRule="atLeast"/>
        <w:ind w:firstLine="0"/>
        <w:jc w:val="center"/>
      </w:pPr>
      <m:oMath>
        <m:sSub>
          <m:e>
            <m:r>
              <w:rPr>
                <w:rFonts w:ascii="Cambria Math" w:hAnsi="Cambria Math"/>
                <w:sz w:val="23"/>
              </w:rPr>
              <m:t>T</m:t>
            </m:r>
          </m:e>
          <m:sub>
            <m:r>
              <w:rPr>
                <w:rFonts w:ascii="Cambria Math" w:hAnsi="Cambria Math"/>
                <w:sz w:val="23"/>
              </w:rPr>
              <m:t>s</m:t>
            </m:r>
          </m:sub>
        </m:sSub>
        <m:r>
          <w:rPr>
            <w:rFonts w:ascii="Cambria Math" w:hAnsi="Cambria Math"/>
            <w:sz w:val="23"/>
          </w:rPr>
          <m:t> = </m:t>
        </m:r>
        <m:f>
          <m:num>
            <m:r>
              <w:rPr>
                <w:rFonts w:ascii="Cambria Math" w:hAnsi="Cambria Math"/>
                <w:sz w:val="23"/>
              </w:rPr>
              <m:t>|τ|</m:t>
            </m:r>
          </m:num>
          <m:den>
            <m:sSub>
              <m:e>
                <m:r>
                  <w:rPr>
                    <w:rFonts w:ascii="Cambria Math" w:hAnsi="Cambria Math"/>
                    <w:sz w:val="23"/>
                  </w:rPr>
                  <m:t>σ</m:t>
                </m:r>
              </m:e>
              <m:sub>
                <m:r>
                  <w:rPr>
                    <w:rFonts w:ascii="Cambria Math" w:hAnsi="Cambria Math"/>
                    <w:sz w:val="23"/>
                  </w:rPr>
                  <m:t>n</m:t>
                </m:r>
              </m:sub>
            </m:sSub>
            <m:r>
              <w:rPr>
                <w:rFonts w:ascii="Cambria Math" w:hAnsi="Cambria Math"/>
                <w:sz w:val="23"/>
              </w:rPr>
              <m:t> − </m:t>
            </m:r>
            <m:sSub>
              <m:e>
                <m:r>
                  <w:rPr>
                    <w:rFonts w:ascii="Cambria Math" w:hAnsi="Cambria Math"/>
                    <w:sz w:val="23"/>
                  </w:rPr>
                  <m:t>P</m:t>
                </m:r>
              </m:e>
              <m:sub>
                <m:r>
                  <w:rPr>
                    <w:rFonts w:ascii="Cambria Math" w:hAnsi="Cambria Math"/>
                    <w:sz w:val="23"/>
                  </w:rPr>
                  <m:t>f</m:t>
                </m:r>
              </m:sub>
            </m:sSub>
          </m:den>
        </m:f>
      </m:oMath>
      <w:r>
        <w:t xml:space="preserve">    (4)</w:t>
      </w:r>
    </w:p>
    <w:p>
      <w:pPr>
        <w:keepNext/>
        <w:spacing w:before="60" w:after="100" w:line="400" w:lineRule="atLeast"/>
        <w:ind w:firstLine="0"/>
        <w:jc w:val="center"/>
      </w:pPr>
      <m:oMath>
        <m:r>
          <w:rPr>
            <w:rFonts w:ascii="Cambria Math" w:hAnsi="Cambria Math"/>
            <w:sz w:val="23"/>
          </w:rPr>
          <m:t>F = |τ| − c − μ (</m:t>
        </m:r>
        <m:sSub>
          <m:e>
            <m:r>
              <w:rPr>
                <w:rFonts w:ascii="Cambria Math" w:hAnsi="Cambria Math"/>
                <w:sz w:val="23"/>
              </w:rPr>
              <m:t>σ</m:t>
            </m:r>
          </m:e>
          <m:sub>
            <m:r>
              <w:rPr>
                <w:rFonts w:ascii="Cambria Math" w:hAnsi="Cambria Math"/>
                <w:sz w:val="23"/>
              </w:rPr>
              <m:t>n</m:t>
            </m:r>
          </m:sub>
        </m:sSub>
        <m:r>
          <w:rPr>
            <w:rFonts w:ascii="Cambria Math" w:hAnsi="Cambria Math"/>
            <w:sz w:val="23"/>
          </w:rPr>
          <m:t> − </m:t>
        </m:r>
        <m:sSub>
          <m:e>
            <m:r>
              <w:rPr>
                <w:rFonts w:ascii="Cambria Math" w:hAnsi="Cambria Math"/>
                <w:sz w:val="23"/>
              </w:rPr>
              <m:t>P</m:t>
            </m:r>
          </m:e>
          <m:sub>
            <m:r>
              <w:rPr>
                <w:rFonts w:ascii="Cambria Math" w:hAnsi="Cambria Math"/>
                <w:sz w:val="23"/>
              </w:rPr>
              <m:t>f</m:t>
            </m:r>
          </m:sub>
        </m:sSub>
        <m:r>
          <w:rPr>
            <w:rFonts w:ascii="Cambria Math" w:hAnsi="Cambria Math"/>
            <w:sz w:val="23"/>
          </w:rPr>
          <m:t>)</m:t>
        </m:r>
      </m:oMath>
      <w:r>
        <w:t xml:space="preserve">    (5)</w:t>
      </w:r>
    </w:p>
    <w:p>
      <w:r>
        <w:t>式中σn为裂缝面法向总应力，Pf为该裂缝内压力，τ为剪应力，c和μ分别为黏聚力与摩擦系数，压应力取正。滑移倾向只在有效法向应力为正时有定义；法向张开情形需单独处理。F为指定摩擦准则下的剪切失稳裕度，不是导流能力或压窜概率。缺少裂缝倾角、应力方位或Pf约束时不计算该项。</w:t>
      </w:r>
    </w:p>
    <w:p>
      <w:pPr>
        <w:pStyle w:val="Heading2"/>
      </w:pPr>
      <w:r>
        <w:t>必须纳入的工程与邻井状态控制量</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3600"/>
        <w:gridCol w:w="4671"/>
      </w:tblGrid>
      <w:tr>
        <w:trPr>
          <w:cantSplit/>
          <w:tblHeader/>
        </w:trPr>
        <w:tc>
          <w:tcPr>
            <w:tcW w:type="dxa" w:w="1701"/>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类别</w:t>
            </w:r>
          </w:p>
        </w:tc>
        <w:tc>
          <w:tcPr>
            <w:tcW w:type="dxa" w:w="3600"/>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压前可用字段</w:t>
            </w:r>
          </w:p>
        </w:tc>
        <w:tc>
          <w:tcPr>
            <w:tcW w:type="dxa" w:w="4671"/>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易混淆处</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段簇设计</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段长、簇数、簇间距、射孔长度及设计密度</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明确设计值；不使用事后有效簇数</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泵注设计</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计划液量、设计排量、设计砂量及加砂程序</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不能用本段最终实际值冒充压前已知量</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施工历史</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既往段完成顺序、相邻段时间间隔、施工方式</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段号不等于时序，按真实时间计算</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邻井状态</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开关井状态、压前压力、已生产时间、预注入情况</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主动泄压与再加压会改变压力形态</w:t>
            </w:r>
          </w:p>
        </w:tc>
      </w:tr>
    </w:tbl>
    <w:p>
      <w:pPr>
        <w:spacing w:after="0" w:before="0" w:line="80" w:lineRule="exact"/>
      </w:pPr>
      <w:r>
        <w:rPr>
          <w:rFonts w:ascii="Times New Roman" w:hAnsi="Times New Roman" w:eastAsia="SimSun" w:cs="Times New Roman"/>
          <w:b w:val="0"/>
          <w:color w:val="000000"/>
          <w:sz w:val="6"/>
        </w:rPr>
      </w:r>
    </w:p>
    <w:p>
      <w:pPr>
        <w:pStyle w:val="Heading2"/>
        <w:pageBreakBefore/>
      </w:pPr>
      <w:r>
        <w:t>3.7 分类模型与验证方案</w:t>
      </w:r>
    </w:p>
    <w:p>
      <w:r>
        <w:t>目标输出为每个风险类别的预测概率和最终类别；若风险等级缺乏足够独立证据，则先预测响应类型并保留风险解释表。建议比较多项Logistic回归、随机森林与XGBoost，再从LightGBM或CatBoost中选一个已有基础较好的模型。XGBoost原理简述并引用Chen and Guestrin（2016），不展开教材式推导。</w:t>
      </w:r>
    </w:p>
    <w:p>
      <w:pPr>
        <w:pStyle w:val="Heading2"/>
      </w:pPr>
      <w:r>
        <w:t>输入时间边界</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24"/>
        <w:gridCol w:w="3600"/>
        <w:gridCol w:w="4048"/>
      </w:tblGrid>
      <w:tr>
        <w:trPr>
          <w:cantSplit/>
          <w:tblHeader/>
        </w:trPr>
        <w:tc>
          <w:tcPr>
            <w:tcW w:type="dxa" w:w="2324"/>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字段</w:t>
            </w:r>
          </w:p>
        </w:tc>
        <w:tc>
          <w:tcPr>
            <w:tcW w:type="dxa" w:w="3600"/>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压前模型是否可用</w:t>
            </w:r>
          </w:p>
        </w:tc>
        <w:tc>
          <w:tcPr>
            <w:tcW w:type="dxa" w:w="4048"/>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原因</w:t>
            </w:r>
          </w:p>
        </w:tc>
      </w:tr>
      <w:tr>
        <w:trPr>
          <w:cantSplit/>
        </w:trPr>
        <w:tc>
          <w:tcPr>
            <w:tcW w:type="dxa" w:w="2324"/>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压前地质、轨迹、施工设计</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是</w:t>
            </w:r>
          </w:p>
        </w:tc>
        <w:tc>
          <w:tcPr>
            <w:tcW w:type="dxa" w:w="4048"/>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目标段开始前可获得</w:t>
            </w:r>
          </w:p>
        </w:tc>
      </w:tr>
      <w:tr>
        <w:trPr>
          <w:cantSplit/>
        </w:trPr>
        <w:tc>
          <w:tcPr>
            <w:tcW w:type="dxa" w:w="2324"/>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目标段之前的施工和邻井历史</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有条件可用</w:t>
            </w:r>
          </w:p>
        </w:tc>
        <w:tc>
          <w:tcPr>
            <w:tcW w:type="dxa" w:w="4048"/>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按预测时刻截断，不能含未来段</w:t>
            </w:r>
          </w:p>
        </w:tc>
      </w:tr>
      <w:tr>
        <w:trPr>
          <w:cantSplit/>
        </w:trPr>
        <w:tc>
          <w:tcPr>
            <w:tcW w:type="dxa" w:w="2324"/>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本段完整邻井压力及提取特征</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否</w:t>
            </w:r>
          </w:p>
        </w:tc>
        <w:tc>
          <w:tcPr>
            <w:tcW w:type="dxa" w:w="4048"/>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属于结果标签的信息来源</w:t>
            </w:r>
          </w:p>
        </w:tc>
      </w:tr>
      <w:tr>
        <w:trPr>
          <w:cantSplit/>
        </w:trPr>
        <w:tc>
          <w:tcPr>
            <w:tcW w:type="dxa" w:w="2324"/>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本段实际总液量、最大施工压力</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否</w:t>
            </w:r>
          </w:p>
        </w:tc>
        <w:tc>
          <w:tcPr>
            <w:tcW w:type="dxa" w:w="4048"/>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段末才获得，且可能受风险后的调整影响</w:t>
            </w:r>
          </w:p>
        </w:tc>
      </w:tr>
      <w:tr>
        <w:trPr>
          <w:cantSplit/>
        </w:trPr>
        <w:tc>
          <w:tcPr>
            <w:tcW w:type="dxa" w:w="2324"/>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本段微地震展布或裂缝长度</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否</w:t>
            </w:r>
          </w:p>
        </w:tc>
        <w:tc>
          <w:tcPr>
            <w:tcW w:type="dxa" w:w="4048"/>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属于压后或施工中证据</w:t>
            </w:r>
          </w:p>
        </w:tc>
      </w:tr>
    </w:tbl>
    <w:p>
      <w:pPr>
        <w:spacing w:after="0" w:before="0" w:line="80" w:lineRule="exact"/>
      </w:pPr>
      <w:r>
        <w:rPr>
          <w:rFonts w:ascii="Times New Roman" w:hAnsi="Times New Roman" w:eastAsia="SimSun" w:cs="Times New Roman"/>
          <w:b w:val="0"/>
          <w:color w:val="000000"/>
          <w:sz w:val="6"/>
        </w:rPr>
      </w:r>
    </w:p>
    <w:p>
      <w:r>
        <w:t>若仅具备实际施工参数，可另设“给定实施参数的回顾性分类”，与严格压前预测分开报告。本文主任务是表格参数分类，若无独立时序输入及足够样本，无需将LSTM或Transformer强行加入主对比。</w:t>
      </w:r>
    </w:p>
    <w:p>
      <w:pPr>
        <w:pStyle w:val="Heading2"/>
      </w:pPr>
      <w:r>
        <w:t>分组划分与标签冻结</w:t>
      </w:r>
    </w:p>
    <w:p>
      <w:r>
        <w:t>优先按整个平台留出测试，内部按井或平台分组交叉验证。若只有单平台，可留出施工井；同一施工段对应全部邻井配对必须在同一组。共享监测井仍可能造成相关性，应报告跨折井复用；只有井内时间分块时，结论限于该场景。不能宣称已经完成跨平台验证。</w:t>
      </w:r>
    </w:p>
    <w:p>
      <w:r>
        <w:t>先确定开发集和保留测试组。聚类预处理、类别中心、风险映射及模型选择均在开发集完成；严格的内层验证中，标签构建也只使用内层训练部分。验证和测试的历史压力曲线按冻结的中心或规则生成参考标签，不能再参与调参。超出既有类型覆盖的曲线记为待定并报告比例。</w:t>
      </w:r>
    </w:p>
    <w:p>
      <w:r>
        <w:t>这里测试压力用于事后确定评价标签，预测输入仍为压前参数。若已有类别是在全体数据上探索得到，应将该结果称为探索分析，并另留新组检验，或按上述流程重做验证（Roberts et al., 2017）。</w:t>
      </w:r>
    </w:p>
    <w:p>
      <w:pPr>
        <w:pStyle w:val="Heading2"/>
      </w:pPr>
      <w:r>
        <w:t>调参与性能指标</w:t>
      </w:r>
    </w:p>
    <w:p>
      <w:r>
        <w:t>各模型使用同一分组和相近调参预算；插补、特征筛选及类别权重仅在训练折计算。主指标为Macro-F1和高风险召回率，辅以Balanced Accuracy、各类Precision/Recall/F1、混淆矩阵、OvR PR曲线及ROC-AUC。报告类别样本量和按组估计的置信区间；概率输出增加校准曲线或Brier分数。</w:t>
      </w:r>
    </w:p>
    <w:p>
      <w:pPr>
        <w:pStyle w:val="Heading2"/>
        <w:pageBreakBefore/>
      </w:pPr>
      <w:r>
        <w:t>3.8 SHAP分析和参数增益检验</w:t>
      </w:r>
    </w:p>
    <w:p>
      <w:r>
        <w:t>先按开发集分组验证确定模型，再开展测试和解释。以保留测试样本或折外预测为主要解释对象，背景数据仅取训练集，并注明解释的是概率还是模型原始得分。多分类模型分别解释每一类，不能把所有类别的正负SHAP混为一个方向（Lundberg and Lee, 2017）。</w:t>
      </w:r>
    </w:p>
    <w:p>
      <w:r>
        <w:t>全局分析报告各类别平均绝对SHAP贡献及其排序稳定性；重点展示高风险类蜂群图。依赖图优先选择应力差、井间距离、裂缝方位关系和施工设计变量，附样本密度，避免把稀疏尾部曲线解释为确定阈值。</w:t>
      </w:r>
    </w:p>
    <w:p>
      <w:r>
        <w:t>交互分析优先考虑“应力差×天然裂缝发育”“井距×设计液量”“方位关系×裂缝密度”。条件允许时用TreeSHAP交互值；否则依赖图着色仅用于辅助观察，不能把颜色关联直接称为定量交互效应（Lundberg et al., 2019）。</w:t>
      </w:r>
    </w:p>
    <w:p>
      <w:r>
        <w:t>典型段分别选择正确识别的高风险样本、低风险样本和一个误分类样本，展示SHAP瀑布图。对比基准输出、正负贡献及最终结果，再核查压力、微地震和井况，分析模型何处合理、何处失效。</w:t>
      </w:r>
    </w:p>
    <w:p>
      <w:pPr>
        <w:pStyle w:val="Heading2"/>
      </w:pPr>
      <w:r>
        <w:t>消融实验设计</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3600"/>
        <w:gridCol w:w="4671"/>
      </w:tblGrid>
      <w:tr>
        <w:trPr>
          <w:cantSplit/>
          <w:tblHeader/>
        </w:trPr>
        <w:tc>
          <w:tcPr>
            <w:tcW w:type="dxa" w:w="1701"/>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实验</w:t>
            </w:r>
          </w:p>
        </w:tc>
        <w:tc>
          <w:tcPr>
            <w:tcW w:type="dxa" w:w="3600"/>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比较设置</w:t>
            </w:r>
          </w:p>
        </w:tc>
        <w:tc>
          <w:tcPr>
            <w:tcW w:type="dxa" w:w="4671"/>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要检验的价值</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A 幅值信息</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保留幅值的时序聚类与逐曲线标准化</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幅值丢失是否影响风险解释</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B 标签组织</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仅峰值分级与完整时序解释</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时序是否提供独立证据上的增益</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C 地质力学</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基础变量集与加入力学变量集</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在同样样本和验证组上是否提升预测</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D 裂缝与空间</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去掉裂缝参数、去掉方向或距离项</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识别信息来源的相对作用</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E 标签不确定性</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全部有效标签与高置信度子集</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评估标签质量对模型表现的影响</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F 资料完整性</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固定完整样本比较与缺失可用方案</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区分特征增益和样本改变带来的差异</w:t>
            </w:r>
          </w:p>
        </w:tc>
      </w:tr>
    </w:tbl>
    <w:p>
      <w:pPr>
        <w:spacing w:after="0" w:before="0" w:line="80" w:lineRule="exact"/>
      </w:pPr>
      <w:r>
        <w:rPr>
          <w:rFonts w:ascii="Times New Roman" w:hAnsi="Times New Roman" w:eastAsia="SimSun" w:cs="Times New Roman"/>
          <w:b w:val="0"/>
          <w:color w:val="000000"/>
          <w:sz w:val="6"/>
        </w:rPr>
      </w:r>
    </w:p>
    <w:p>
      <w:r>
        <w:t>基础变量集包括井间几何、储层背景、邻井状态及设计工程参数；地质力学增强集加入应力、弹性、隔层与裂缝参数。先按相同样本比较，再做扩大覆盖的应用分析。不能因增强模型剔除了困难样本而把改善归为参数价值。</w:t>
      </w:r>
    </w:p>
    <w:p>
      <w:r>
        <w:t>SHAP体现模型在当前数据分布下的关联贡献。共线变量会分摊贡献，需结合特征组消融、相关性和领域认识解释；不能据此证明单一参数的因果作用，也不能直接导出现场安全排量。</w:t>
      </w:r>
    </w:p>
    <w:p>
      <w:pPr>
        <w:pStyle w:val="Heading1"/>
        <w:pageBreakBefore/>
      </w:pPr>
      <w:r>
        <w:t>4 结果</w:t>
      </w:r>
    </w:p>
    <w:p>
      <w:pPr>
        <w:pStyle w:val="Heading2"/>
      </w:pPr>
      <w:r>
        <w:t>4.1 数据质量与聚类方法比较</w:t>
      </w:r>
    </w:p>
    <w:p>
      <w:r>
        <w:t>先用一段说明原始及有效样本数、被剔除原因、各来源覆盖情况。随后比较不同方法与类别数的稳定性、簇规模和曲线可解释性；说明最终选择由哪些证据支持，以及是否存在接近的备选方案。</w:t>
      </w:r>
    </w:p>
    <w:p>
      <w:r>
        <w:t>推荐组合图3包括：不同K值的内部指标曲线、跨初始化或重采样稳定性、各簇样本占比。算法耗时和关键设置放在小表或图注。若不同方法没有显著差异，可优先选择稳定且解释清楚的方法，不需要制造大幅性能优势。</w:t>
      </w:r>
    </w:p>
    <w:p>
      <w:r>
        <w:t>结果句式：在相同预处理和候选K范围内，【方法】形成【K】类响应；分组重采样的ARI为【数值及区间】，最小类别包含【N】个配对。相比【方法】，其优势主要体现为【稳定性或类型可解释性】，代价为【耗时或其他限制】。</w:t>
      </w:r>
    </w:p>
    <w:p>
      <w:pPr>
        <w:pStyle w:val="Heading2"/>
      </w:pPr>
      <w:r>
        <w:t>4.2 压力响应模式及风险特征</w:t>
      </w:r>
    </w:p>
    <w:p>
      <w:r>
        <w:t>每类均展示原始MPa曲线、真实代表曲线及稳健中心趋势，报告样本数。图中标出开泵和停泵，并同时保留物理时间及响应时滞。若采用DTW中心或归一化时间，图注必须说明该中心不是一条实际记录。</w:t>
      </w:r>
    </w:p>
    <w:p>
      <w:r>
        <w:t>解释顺序为“形态—幅值与持续性—风险含义—证据置信度”。例如，对某个持续响应类，先描述起跳和恢复特征，再报告压差与残余压力分布，最后结合微地震及现场记录判断其风险含义。不能只根据曲线看起来陡峭就命名为恶性压窜。</w:t>
      </w:r>
    </w:p>
    <w:p>
      <w:r>
        <w:t>推荐图4为分类型曲线组合图；论文表3汇总各类峰值压差、时滞、增长速率、恢复比例及风险解释。类间差异采用中位数与四分位距等稳健统计，保留边界样本及待定比例。</w:t>
      </w:r>
    </w:p>
    <w:p>
      <w:pPr>
        <w:pStyle w:val="Heading2"/>
      </w:pPr>
      <w:r>
        <w:t>预期应得到的认识</w:t>
      </w:r>
    </w:p>
    <w:p>
      <w:r>
        <w:t>本节力争回答：是否存在重复出现的响应模式；时间形态是否补充了峰值信息；风险是否能完全按形态排序。若某一类在相同形态下出现不同压力强度，应把这一差异作为结果，采用“形态类型＋风险等级”的解释方式。</w:t>
      </w:r>
    </w:p>
    <w:p>
      <w:r>
        <w:t>建议给出一个同峰值、不同恢复过程的真实对照配对，说明完整时序的增量价值。若未找到这样的样本，不编造对照，改用全样本统计比较。</w:t>
      </w:r>
    </w:p>
    <w:p>
      <w:pPr>
        <w:pStyle w:val="Heading2"/>
      </w:pPr>
      <w:r>
        <w:t>本节需填入的内容</w:t>
      </w:r>
    </w:p>
    <w:p>
      <w:r>
        <w:t>有效样本和类别数；最终算法及参数；每类代表样本标识；中心曲线计算方式；类别分布；风险映射规则；待定与低置信度标签的占比。</w:t>
      </w:r>
    </w:p>
    <w:p>
      <w:pPr>
        <w:pStyle w:val="Heading2"/>
        <w:pageBreakBefore/>
      </w:pPr>
      <w:r>
        <w:t>4.3 微地震对分类合理性的检验</w:t>
      </w:r>
    </w:p>
    <w:p>
      <w:r>
        <w:t>按类别选取资料完整、监测条件可比的典型配对，展示施工段、邻井轨迹、射孔簇与事件云。采用相同空间比例和色标，用事件时间着色，标出压力起跳前后关键窗口；再用整体验证子集的量化指标检验典型观察是否具有代表性。</w:t>
      </w:r>
    </w:p>
    <w:p>
      <w:r>
        <w:t>图5建议由平面与剖面事件分布、事件到邻井距离随时间变化、压力叠加曲线和类别指标箱线图组成。显示定位不确定性或代表误差尺度。区分微地震解释接近时刻与压力响应起始时刻，并报告不确定范围。</w:t>
      </w:r>
    </w:p>
    <w:p>
      <w:r>
        <w:t>结果句式：在【Nms】个微地震有效配对中，【类别】的事件到邻井距离d10为【中位数及范围】，与【类别】相比差异为【效应量及区间】。该差异与【压力特征】相互支持；但【反例或覆盖限制】表明，压力模式不能仅凭事件云形态作唯一机制解释。</w:t>
      </w:r>
    </w:p>
    <w:p>
      <w:r>
        <w:t>若只存在少数有微地震的段，本节采用“典型案例支持”表述，不进行不可靠的总体显著性推断。优先完整展示一个支持案例和一个不一致案例，明确未来需要何种证据区分解释。</w:t>
      </w:r>
    </w:p>
    <w:p>
      <w:pPr>
        <w:pStyle w:val="Heading2"/>
      </w:pPr>
      <w:r>
        <w:t>4.4 风险分类模型表现</w:t>
      </w:r>
    </w:p>
    <w:p>
      <w:r>
        <w:t>先报告分组测试方案、训练和测试各类样本数，再比较模型。主结果放在论文表4，图6展示最优模型混淆矩阵和高风险类PR曲线。置信区间按施工井或平台重采样；组数太少时明确区间不稳定，补充逐组结果。</w:t>
      </w:r>
    </w:p>
    <w:p>
      <w:r>
        <w:t>重点解释高风险漏报、相邻等级混淆以及未见类型的识别覆盖；Accuracy只作辅助。把待定标签比例与可分类样本的性能一起报告，避免通过排除困难样本造成表观改善。</w:t>
      </w:r>
    </w:p>
    <w:p>
      <w:r>
        <w:t>结果句式：在按【平台或施工井】留出的测试中，【模型】获得Macro-F1【数值】，高风险类Recall【数值】、Precision【数值】。误判主要发生于【类别对】；在【某类地质条件】下误差增加，提示模型对【资料或场景】的依赖。</w:t>
      </w:r>
    </w:p>
    <w:p>
      <w:pPr>
        <w:pStyle w:val="Heading2"/>
      </w:pPr>
      <w:r>
        <w:t>地质力学增强的实测增益</w:t>
      </w:r>
    </w:p>
    <w:p>
      <w:r>
        <w:t>在相同样本、相同分组与同样调参预算下，比较加入应力、隔层和天然裂缝信息前后的变化。报告Macro-F1、漏报率及校准表现的差值和不确定性。没有明显提升也应如实呈现，并分析测量噪声、变量冗余或样本覆盖；不能预设力学变量必然提高预测精度。</w:t>
      </w:r>
    </w:p>
    <w:p>
      <w:pPr>
        <w:pStyle w:val="Heading2"/>
        <w:pageBreakBefore/>
      </w:pPr>
      <w:r>
        <w:t>4.5 SHAP主控因素与地质力学关联</w:t>
      </w:r>
    </w:p>
    <w:p>
      <w:r>
        <w:t>先回答哪些变量组对高风险类输出贡献更大，再分析单个变量的作用范围。图7建议包含高风险类SHAP蜂群图、分类别重要性对比以及3—4个依赖或交互子图。相关性较强的应力、模量、脆性等变量，应结合消融结果讨论，避免仅用单变量排名得出物理主控结论。</w:t>
      </w:r>
    </w:p>
    <w:p>
      <w:r>
        <w:t>本节重点检验以下关联，不预设方向：应力差是否改变特定天然裂缝条件下的风险；井间距离和垂向错位如何影响类别概率；方位关系是否与裂缝发育程度产生交互；设计液量或排量的贡献是否随几何和地质条件改变。</w:t>
      </w:r>
    </w:p>
    <w:p>
      <w:r>
        <w:t>阈值候选需要足够的区间样本数、跨折稳定性及置信范围。若依赖图只表现连续变化，就报告连续变化，不强行划出危险临界值。数据密度很低的极端区域不写成工程设计界限。</w:t>
      </w:r>
    </w:p>
    <w:p>
      <w:r>
        <w:t>结果句式：针对【类别】的模型输出，【参数组】表现出较高贡献。在【样本充分的范围】内，【参数】与该类别输出呈【正负或非单调】关联；在【条件变量】取值不同的样本中，其关系发生【变化】。该观察与【可检验的力学解释】相容，仍需独立资料进一步确认。</w:t>
      </w:r>
    </w:p>
    <w:p>
      <w:pPr>
        <w:pStyle w:val="Heading2"/>
      </w:pPr>
      <w:r>
        <w:t>4.6 典型井段综合解释和误差分析</w:t>
      </w:r>
    </w:p>
    <w:p>
      <w:r>
        <w:t>从保留测试组选择2—3个配对，至少包含一个高风险正确识别样本和一个误分类样本。图8将压前地质参数、分类概率、SHAP局部解释、历史压力和微地震对应起来，展示“模型为何这样判断”及“现场证据是否支持”。</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7705"/>
      </w:tblGrid>
      <w:tr>
        <w:trPr>
          <w:cantSplit/>
          <w:tblHeader/>
        </w:trPr>
        <w:tc>
          <w:tcPr>
            <w:tcW w:type="dxa" w:w="2268"/>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案例内容</w:t>
            </w:r>
          </w:p>
        </w:tc>
        <w:tc>
          <w:tcPr>
            <w:tcW w:type="dxa" w:w="7705"/>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应展示的具体信息</w:t>
            </w:r>
          </w:p>
        </w:tc>
      </w:tr>
      <w:tr>
        <w:trPr>
          <w:cantSplit/>
        </w:trPr>
        <w:tc>
          <w:tcPr>
            <w:tcW w:type="dxa" w:w="2268"/>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压前条件</w:t>
            </w:r>
          </w:p>
        </w:tc>
        <w:tc>
          <w:tcPr>
            <w:tcW w:type="dxa" w:w="7705"/>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距离、方位、应力与裂缝信息、施工设计和邻井状态</w:t>
            </w:r>
          </w:p>
        </w:tc>
      </w:tr>
      <w:tr>
        <w:trPr>
          <w:cantSplit/>
        </w:trPr>
        <w:tc>
          <w:tcPr>
            <w:tcW w:type="dxa" w:w="2268"/>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模型结果</w:t>
            </w:r>
          </w:p>
        </w:tc>
        <w:tc>
          <w:tcPr>
            <w:tcW w:type="dxa" w:w="7705"/>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预测类别、概率、置信或适用范围提示</w:t>
            </w:r>
          </w:p>
        </w:tc>
      </w:tr>
      <w:tr>
        <w:trPr>
          <w:cantSplit/>
        </w:trPr>
        <w:tc>
          <w:tcPr>
            <w:tcW w:type="dxa" w:w="2268"/>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事后参照</w:t>
            </w:r>
          </w:p>
        </w:tc>
        <w:tc>
          <w:tcPr>
            <w:tcW w:type="dxa" w:w="7705"/>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冻结规则得到的标签、原始压力及监测证据</w:t>
            </w:r>
          </w:p>
        </w:tc>
      </w:tr>
      <w:tr>
        <w:trPr>
          <w:cantSplit/>
        </w:trPr>
        <w:tc>
          <w:tcPr>
            <w:tcW w:type="dxa" w:w="2268"/>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局部解释</w:t>
            </w:r>
          </w:p>
        </w:tc>
        <w:tc>
          <w:tcPr>
            <w:tcW w:type="dxa" w:w="7705"/>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推高或降低该类别输出的主要变量贡献</w:t>
            </w:r>
          </w:p>
        </w:tc>
      </w:tr>
      <w:tr>
        <w:trPr>
          <w:cantSplit/>
        </w:trPr>
        <w:tc>
          <w:tcPr>
            <w:tcW w:type="dxa" w:w="2268"/>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误差来源</w:t>
            </w:r>
          </w:p>
        </w:tc>
        <w:tc>
          <w:tcPr>
            <w:tcW w:type="dxa" w:w="7705"/>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标签边界、井况变化、特征缺失或分布外情况</w:t>
            </w:r>
          </w:p>
        </w:tc>
      </w:tr>
    </w:tbl>
    <w:p>
      <w:pPr>
        <w:spacing w:after="0" w:before="0" w:line="80" w:lineRule="exact"/>
      </w:pPr>
      <w:r>
        <w:rPr>
          <w:rFonts w:ascii="Times New Roman" w:hAnsi="Times New Roman" w:eastAsia="SimSun" w:cs="Times New Roman"/>
          <w:b w:val="0"/>
          <w:color w:val="000000"/>
          <w:sz w:val="6"/>
        </w:rPr>
      </w:r>
    </w:p>
    <w:p>
      <w:r>
        <w:t>若画段级风险分布图，主图明确以“段—邻井配对”为单位。对同一段的多个邻井可用最大预测风险作保守排序，但必须标注聚合规则；不能将其直接解释为该段至少发生一次压窜的概率。</w:t>
      </w:r>
    </w:p>
    <w:p>
      <w:pPr>
        <w:pStyle w:val="Heading1"/>
        <w:pageBreakBefore/>
      </w:pPr>
      <w:r>
        <w:t>5 讨论</w:t>
      </w:r>
    </w:p>
    <w:p>
      <w:pPr>
        <w:pStyle w:val="Heading2"/>
      </w:pPr>
      <w:r>
        <w:t>5.1 压力类型与不同井间作用方式</w:t>
      </w:r>
    </w:p>
    <w:p>
      <w:r>
        <w:t>结合压力和微地震共同结果，讨论机械挤压、孔隙压力传播、天然裂缝活化和水力连通等可能解释。每个判断依次说明观测事实、支持机制的理由和仍无法排除的替代解释。区分井口测量条件、井筒储集效应与地下实际干扰。</w:t>
      </w:r>
    </w:p>
    <w:p>
      <w:r>
        <w:t>可对“强压力但微地震不接近”和“事件接近但压力弱”两类反例分别讨论，前者可能与力学作用或未检出活动有关，后者可能涉及导流不足或监测条件。不能凭单个反例直接确定机制。</w:t>
      </w:r>
    </w:p>
    <w:p>
      <w:pPr>
        <w:pStyle w:val="Heading2"/>
      </w:pPr>
      <w:r>
        <w:t>5.2 应力与天然裂缝的耦合作用</w:t>
      </w:r>
    </w:p>
    <w:p>
      <w:r>
        <w:t>将SHAP和消融中最稳定的2—3组关系与应力方向、裂缝方位、层间约束联系起来。应力差、裂缝密度和逼近角的影响可能随地层及施工条件变化，不能预先写成单调规律；所述“逼近角”必须交代两条方向的定义及资料来源。</w:t>
      </w:r>
    </w:p>
    <w:p>
      <w:r>
        <w:t>如计算了滑移倾向或应力阴影，需说明模型边界、压力假设及不确定性。若仅有既往段数和累计液量，则称为施工历史代理量，不能把它们等同于实测应力阴影。</w:t>
      </w:r>
    </w:p>
    <w:p>
      <w:pPr>
        <w:pStyle w:val="Heading2"/>
      </w:pPr>
      <w:r>
        <w:t>5.3 相对单一压力阈值的增量价值</w:t>
      </w:r>
    </w:p>
    <w:p>
      <w:r>
        <w:t>围绕标签稳定性、独立证据一致性和跨组预测三个方面比较。若时序聚类只提高曲线区分度而没有明显增加独立证据支持，结论限定为更细致的响应描述。不要仅以更高的训练集分类精度证明风险标签更真实。</w:t>
      </w:r>
    </w:p>
    <w:p>
      <w:pPr>
        <w:pStyle w:val="Heading2"/>
      </w:pPr>
      <w:r>
        <w:t>5.4 工程用途与部署条件</w:t>
      </w:r>
    </w:p>
    <w:p>
      <w:r>
        <w:t>论文可将成果定位为压前风险筛查、重点邻井监测和设计方案复核的依据。给出按风险等级分配监测强度、优先审查邻井状态及裂缝通道的建议；具体降排量、限液量或暂堵决策仍需现场设计及独立验证。多分类概率需经校准并结合误报与漏报成本设置阈值。</w:t>
      </w:r>
    </w:p>
    <w:p>
      <w:pPr>
        <w:pStyle w:val="Heading2"/>
      </w:pPr>
      <w:r>
        <w:t>5.5 泛化能力与标签不确定性</w:t>
      </w:r>
    </w:p>
    <w:p>
      <w:r>
        <w:t>分别讨论平台差异、监测设备差异、类别不平衡、同井相关性和天然裂缝解释误差。解释全样本中有微地震的子集是否具有代表性。若使用冻结的聚类规则作测试标签，说明分类模型的性能首先反映对该规则定义类型的预测能力。</w:t>
      </w:r>
    </w:p>
    <w:p>
      <w:pPr>
        <w:pStyle w:val="Heading2"/>
      </w:pPr>
      <w:r>
        <w:t>5.6 研究局限及后续工作</w:t>
      </w:r>
    </w:p>
    <w:p>
      <w:r>
        <w:t>优先写与当前结果直接相关的不足，例如独立平台少、孔隙压力不足或缺少流体连通证据。后续方向为补充示踪或光纤、扩大独立平台和进行前瞻验证；实时压力预测、临界液量和因果优化作为进一步扩展，不挤占本篇主线。</w:t>
      </w:r>
    </w:p>
    <w:p>
      <w:pPr>
        <w:pStyle w:val="Heading1"/>
        <w:pageBreakBefore/>
      </w:pPr>
      <w:r>
        <w:t>6 结论</w:t>
      </w:r>
    </w:p>
    <w:p>
      <w:r>
        <w:t>结论建议写4条，每条对应一个实测结果，避免重复算法流程。以下句式在实验完成后填充，不能直接以预期内容替代真实发现。</w:t>
      </w:r>
    </w:p>
    <w:p>
      <w:r>
        <w:t>1）通过【方法】将【N】个有效段—邻井配对的压力曲线划分为【K】类响应模式，其主要差异体现在【具体特征】。在【重采样或预处理变化】条件下，分类稳定性达到【指标】，表明【能支持的结论】。</w:t>
      </w:r>
    </w:p>
    <w:p>
      <w:r>
        <w:t>2）在【Nms】个微地震有效配对中，不同响应类在【空间或时间指标】上表现出【实测差异】；结合【其他记录】，支持了【特定风险解释】，并识别出【不一致情形】。该证据用于解释分类合理性，不单独确证流体连通。</w:t>
      </w:r>
    </w:p>
    <w:p>
      <w:r>
        <w:t>3）使用压前地质工程参数的【模型】在【独立分组方式】下取得Macro-F1【数值】、高风险召回率【数值】。加入【力学参数组】后指标变化【差值及不确定性】，说明这些参数在当前数据中的预测价值为【实测判断】。</w:t>
      </w:r>
    </w:p>
    <w:p>
      <w:r>
        <w:t>4）SHAP及消融结果表明，【变量组】是模型区分【类别】的重要依据，并在【条件】下呈现【非线性或交互关联】。研究可为【具体场景】提供风险筛查依据，适用范围限于【地质和数据条件】。</w:t>
      </w:r>
    </w:p>
    <w:p>
      <w:pPr>
        <w:pStyle w:val="Heading2"/>
      </w:pPr>
      <w:r>
        <w:t>致谢与材料声明</w:t>
      </w:r>
    </w:p>
    <w:p>
      <w:r>
        <w:t>填写真实基金、数据提供单位、现场技术支持和使用许可信息；作者顺序、单位、论文编号与已提交信息核对。数据开放程度按实际情况说明，不能承诺尚未获准公开的生产数据。</w:t>
      </w:r>
    </w:p>
    <w:p>
      <w:pPr>
        <w:pStyle w:val="Heading2"/>
      </w:pPr>
      <w:r>
        <w:t>应优先完成的最小实验组合</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3600"/>
        <w:gridCol w:w="4671"/>
      </w:tblGrid>
      <w:tr>
        <w:trPr>
          <w:cantSplit/>
          <w:tblHeader/>
        </w:trPr>
        <w:tc>
          <w:tcPr>
            <w:tcW w:type="dxa" w:w="1701"/>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优先级</w:t>
            </w:r>
          </w:p>
        </w:tc>
        <w:tc>
          <w:tcPr>
            <w:tcW w:type="dxa" w:w="3600"/>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实验或整理任务</w:t>
            </w:r>
          </w:p>
        </w:tc>
        <w:tc>
          <w:tcPr>
            <w:tcW w:type="dxa" w:w="4671"/>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完成后可支持的核心结论</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必需</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样本配对、时间对齐、质量与覆盖统计</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数据来源清楚，样本定义一致</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必需</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3种聚类方法、K值与稳定性比较</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压力响应模式可重复识别</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必需</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类型特征、风险映射及边界样本核查</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标签含义和置信度明确</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必需</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微地震空间时间对照或完整典型案例</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风险解释获得独立观测支持</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必需</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至少3类表格模型的分组测试</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压前参数对风险标签具有预测能力</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必需</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力学参数消融及分类别SHAP</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IGS关注的力学信息价值得到检验</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增强</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独立平台、校准、标签不确定性分析</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方法泛化和应用边界更清楚</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可选</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高级滑移量、应力阴影模拟、复杂聚类</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资料充分时深化解释</w:t>
            </w:r>
          </w:p>
        </w:tc>
      </w:tr>
    </w:tbl>
    <w:p>
      <w:pPr>
        <w:spacing w:after="0" w:before="0" w:line="80" w:lineRule="exact"/>
      </w:pPr>
      <w:r>
        <w:rPr>
          <w:rFonts w:ascii="Times New Roman" w:hAnsi="Times New Roman" w:eastAsia="SimSun" w:cs="Times New Roman"/>
          <w:b w:val="0"/>
          <w:color w:val="000000"/>
          <w:sz w:val="6"/>
        </w:rPr>
      </w:r>
    </w:p>
    <w:p>
      <w:pPr>
        <w:pStyle w:val="Heading1"/>
        <w:pageBreakBefore/>
      </w:pPr>
      <w:r>
        <w:t>附录A 预期图件设计</w:t>
      </w:r>
    </w:p>
    <w:p>
      <w:r>
        <w:t>建议正式全文优先配置8幅组合图。以下为出图方案，编号可在排版时按首次引用顺序调整；图3—图8均须由真实实验生成。</w:t>
      </w:r>
    </w:p>
    <w:p>
      <w:pPr>
        <w:pStyle w:val="Heading2"/>
      </w:pPr>
      <w:r>
        <w:t>图1 整体技术路线</w:t>
      </w:r>
    </w:p>
    <w:p>
      <w:r>
        <w:t>位置：引言末或3.1。内容：压力与施工对齐、聚类和风险解释、微地震检验、地质工程参数预测、分组验证及SHAP。明确训练与预测两条路径；用不同箭头区分标签来源、输入来源和验证证据。新段推断支路只接压前参数，不接本段完整压力和微地震。</w:t>
      </w:r>
    </w:p>
    <w:p>
      <w:r>
        <w:t>此图承担全文导航作用，强调每一步输出以及下一步如何使用。可采用双栏宽横向或上下分支布局，但保持标签构建和模型验证之间的资料边界。</w:t>
      </w:r>
    </w:p>
    <w:p>
      <w:pPr>
        <w:pStyle w:val="Heading2"/>
      </w:pPr>
      <w:r>
        <w:t>图2 研究平台和样本构建</w:t>
      </w:r>
    </w:p>
    <w:p>
      <w:r>
        <w:t>位置：2.1—2.3。子图a为井轨迹与目标段平面图；b为层位剖面与垂向井距；c为施工排量、施工压力和邻井压力的同步曲线。横轴为真实相对时间min，纵轴注明MPa或m³/min，开停泵及邻井操作时刻作垂直标记。</w:t>
      </w:r>
    </w:p>
    <w:p>
      <w:r>
        <w:t>地图标尺、坐标、北向和应力方位要完整。曲线使用同一真实配对，图注写井段和数据时间窗。若保密要求坐标平移，平移不得改变角度和距离。</w:t>
      </w:r>
    </w:p>
    <w:p>
      <w:pPr>
        <w:pStyle w:val="Heading2"/>
      </w:pPr>
      <w:r>
        <w:t>图3 聚类选择与稳定性</w:t>
      </w:r>
    </w:p>
    <w:p>
      <w:r>
        <w:t>位置：4.1。子图a为候选K与内部指标；b为重复初始化或分组重采样ARI的分布；c为各类规模；可将算法耗时列入图注或小表。各指标明确计算距离、重复次数及评价样本。</w:t>
      </w:r>
    </w:p>
    <w:p>
      <w:r>
        <w:t>不以二维降维图的视觉分离替代定量评价。不将不同距离体系下轮廓系数的细小差异直接解释为绝对优劣。需要时附欧氏基线、DTW与k-Shape的同一批代表曲线对照。</w:t>
      </w:r>
    </w:p>
    <w:p>
      <w:pPr>
        <w:pStyle w:val="Heading2"/>
      </w:pPr>
      <w:r>
        <w:t>图4 压力响应类型及物理描述量</w:t>
      </w:r>
    </w:p>
    <w:p>
      <w:r>
        <w:t>位置：4.2。上排各类原始压差曲线用浅色叠加，真实代表曲线加粗；下排绘峰值压差、响应时滞、增长速率和停泵恢复指标的箱线或小提琴图。每类列n值，类别配色与后续各图一致。</w:t>
      </w:r>
    </w:p>
    <w:p>
      <w:r>
        <w:t>横轴优先保留min，纵轴MPa；泵注与停泵阶段分明。若补充归一化形态图，应与MPa原始图并列并写清变换。阴影若表示四分位区间，不标成模型置信区间。正文最终类别若为三类或五类，面板随结果调整。</w:t>
      </w:r>
    </w:p>
    <w:p>
      <w:pPr>
        <w:pStyle w:val="Heading2"/>
      </w:pPr>
      <w:r>
        <w:t>核心图件间的分工</w:t>
      </w:r>
    </w:p>
    <w:p>
      <w:r>
        <w:t>图2交代数据怎样产生；图3说明为何选该聚类；图4展示发现了哪些响应模式。三幅图各回答一个问题，避免重复摆放相同曲线。</w:t>
      </w:r>
    </w:p>
    <w:p>
      <w:pPr>
        <w:pStyle w:val="Heading1"/>
        <w:pageBreakBefore/>
      </w:pPr>
      <w:r>
        <w:t>附录A 预期图件设计续</w:t>
      </w:r>
    </w:p>
    <w:p>
      <w:pPr>
        <w:pStyle w:val="Heading2"/>
      </w:pPr>
      <w:r>
        <w:t>图5 微地震证据与压力响应对应</w:t>
      </w:r>
    </w:p>
    <w:p>
      <w:r>
        <w:t>位置：4.3。子图a、b为不同类别的平面和剖面事件分布，统一比例；c为事件到邻井距离随时间的变化，并与邻井压力对应；d为验证子集中距离、邻井侧事件占比等指标的类间比较。</w:t>
      </w:r>
    </w:p>
    <w:p>
      <w:r>
        <w:t>事件颜色代表时间，点大小可代表震级或能量，但同一图组保持含义一致。标注有效定位误差、事件筛选规则和每类配对数；统计图中一个点代表一个配对。图注说明微地震用于合理性检验，其事件云不是水力连通面的直接测量。</w:t>
      </w:r>
    </w:p>
    <w:p>
      <w:pPr>
        <w:pStyle w:val="Heading2"/>
      </w:pPr>
      <w:r>
        <w:t>图6 分类表现与地质力学参数增益</w:t>
      </w:r>
    </w:p>
    <w:p>
      <w:r>
        <w:t>位置：4.4。子图a为测试混淆矩阵，同时标样本数和行归一化比例；b为高风险类PR曲线，标明测试正类占比；c为基础特征和力学增强特征的配对性能差及区间。ROC可视篇幅补充，不必与PR重复占大幅版面。</w:t>
      </w:r>
    </w:p>
    <w:p>
      <w:r>
        <w:t>模型对比的完整数字置于表4，图突出“漏报在哪里”和“力学参数增加了多少有效信息”。若画概率校准曲线，标分箱样本量，避免小样本分箱造成虚假精度。</w:t>
      </w:r>
    </w:p>
    <w:p>
      <w:pPr>
        <w:pStyle w:val="Heading2"/>
      </w:pPr>
      <w:r>
        <w:t>图7 SHAP与关键参数关系</w:t>
      </w:r>
    </w:p>
    <w:p>
      <w:r>
        <w:t>位置：4.5。子图a为高风险类蜂群图；b为各类别的特征组贡献；c、d为有足够样本的依赖或交互关系。横轴注明原始物理单位，SHAP纵轴注明输出尺度，背景或附图显示数据密度。</w:t>
      </w:r>
    </w:p>
    <w:p>
      <w:r>
        <w:t>地质因素与工程因素可用固定色系区分，避免将绝对SHAP重要性称作物理权重。仅标注跨折复现且有样本支撑的转折区间，图中不提前绘制10°—20°等未经当前数据检验的危险区间。</w:t>
      </w:r>
    </w:p>
    <w:p>
      <w:pPr>
        <w:pStyle w:val="Heading2"/>
      </w:pPr>
      <w:r>
        <w:t>图8 典型配对预测及综合解释</w:t>
      </w:r>
    </w:p>
    <w:p>
      <w:r>
        <w:t>位置：4.6。并列一个高风险正确识别配对与一个误分类配对；每列包含压前条件摘要、类别概率、SHAP瀑布图及事后压力和微地震证据。若版面受限，主文保留一个案例，另一个在讨论中用简图或表格呈现。</w:t>
      </w:r>
    </w:p>
    <w:p>
      <w:r>
        <w:t>图应完整回答：压前知道什么、模型预测什么、依据哪些变量、事后证据如何。案例选择标准需预先说明，不能只挑模型最成功的样本。</w:t>
      </w:r>
    </w:p>
    <w:p>
      <w:pPr>
        <w:pStyle w:val="Heading2"/>
      </w:pPr>
      <w:r>
        <w:t>可选补充图</w:t>
      </w:r>
    </w:p>
    <w:p>
      <w:r>
        <w:t>S1预处理敏感性与保留突变检查；S2特征相关性和缺失率；S3不同测试井的逐组表现及学习曲线；S4配对风险空间分布及未见类型。能直接支撑核心结论的图优先，其余根据篇幅和实际资料取舍。</w:t>
      </w:r>
    </w:p>
    <w:p>
      <w:pPr>
        <w:pStyle w:val="Heading1"/>
        <w:pageBreakBefore/>
      </w:pPr>
      <w:r>
        <w:t>附录B 预期结果表与数据填写清单</w:t>
      </w:r>
    </w:p>
    <w:p>
      <w:pPr>
        <w:pStyle w:val="Heading2"/>
      </w:pPr>
      <w:r>
        <w:t>正式论文优先保留的四张表</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850"/>
        <w:gridCol w:w="3345"/>
        <w:gridCol w:w="5777"/>
      </w:tblGrid>
      <w:tr>
        <w:trPr>
          <w:cantSplit/>
          <w:tblHeader/>
        </w:trPr>
        <w:tc>
          <w:tcPr>
            <w:tcW w:type="dxa" w:w="850"/>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表号</w:t>
            </w:r>
          </w:p>
        </w:tc>
        <w:tc>
          <w:tcPr>
            <w:tcW w:type="dxa" w:w="3345"/>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建议表题</w:t>
            </w:r>
          </w:p>
        </w:tc>
        <w:tc>
          <w:tcPr>
            <w:tcW w:type="dxa" w:w="5777"/>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字段设计与放置位置</w:t>
            </w:r>
          </w:p>
        </w:tc>
      </w:tr>
      <w:tr>
        <w:trPr>
          <w:cantSplit/>
        </w:trPr>
        <w:tc>
          <w:tcPr>
            <w:tcW w:type="dxa" w:w="850"/>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表1</w:t>
            </w:r>
          </w:p>
        </w:tc>
        <w:tc>
          <w:tcPr>
            <w:tcW w:type="dxa" w:w="3345"/>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数据组成与有效样本统计</w:t>
            </w:r>
          </w:p>
        </w:tc>
        <w:tc>
          <w:tcPr>
            <w:tcW w:type="dxa" w:w="5777"/>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平台、井、段、配对数、微地震覆盖、剔除原因；第2章</w:t>
            </w:r>
          </w:p>
        </w:tc>
      </w:tr>
      <w:tr>
        <w:trPr>
          <w:cantSplit/>
        </w:trPr>
        <w:tc>
          <w:tcPr>
            <w:tcW w:type="dxa" w:w="850"/>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表2</w:t>
            </w:r>
          </w:p>
        </w:tc>
        <w:tc>
          <w:tcPr>
            <w:tcW w:type="dxa" w:w="3345"/>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模型输入及地质力学参数定义</w:t>
            </w:r>
          </w:p>
        </w:tc>
        <w:tc>
          <w:tcPr>
            <w:tcW w:type="dxa" w:w="5777"/>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名称、单位、数据来源、压前可用性、缺失率；3.6</w:t>
            </w:r>
          </w:p>
        </w:tc>
      </w:tr>
      <w:tr>
        <w:trPr>
          <w:cantSplit/>
        </w:trPr>
        <w:tc>
          <w:tcPr>
            <w:tcW w:type="dxa" w:w="850"/>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表3</w:t>
            </w:r>
          </w:p>
        </w:tc>
        <w:tc>
          <w:tcPr>
            <w:tcW w:type="dxa" w:w="3345"/>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响应类型与风险解释</w:t>
            </w:r>
          </w:p>
        </w:tc>
        <w:tc>
          <w:tcPr>
            <w:tcW w:type="dxa" w:w="5777"/>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类别、n、压差、时滞、恢复、风险映射与证据；4.2</w:t>
            </w:r>
          </w:p>
        </w:tc>
      </w:tr>
      <w:tr>
        <w:trPr>
          <w:cantSplit/>
        </w:trPr>
        <w:tc>
          <w:tcPr>
            <w:tcW w:type="dxa" w:w="850"/>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表4</w:t>
            </w:r>
          </w:p>
        </w:tc>
        <w:tc>
          <w:tcPr>
            <w:tcW w:type="dxa" w:w="3345"/>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模型分类表现及特征消融</w:t>
            </w:r>
          </w:p>
        </w:tc>
        <w:tc>
          <w:tcPr>
            <w:tcW w:type="dxa" w:w="5777"/>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模型、特征组、Macro-F1、高风险P/R、区间；4.4</w:t>
            </w:r>
          </w:p>
        </w:tc>
      </w:tr>
    </w:tbl>
    <w:p>
      <w:pPr>
        <w:spacing w:after="0" w:before="0" w:line="80" w:lineRule="exact"/>
      </w:pPr>
      <w:r>
        <w:rPr>
          <w:rFonts w:ascii="Times New Roman" w:hAnsi="Times New Roman" w:eastAsia="SimSun" w:cs="Times New Roman"/>
          <w:b w:val="0"/>
          <w:color w:val="000000"/>
          <w:sz w:val="6"/>
        </w:rPr>
      </w:r>
    </w:p>
    <w:p>
      <w:r>
        <w:t>表3的连续指标优先使用中位数及四分位距。表4注明测试划分、类别支持数、模型选择依据和重复次数；指标差值用百分点表述，避免与相对百分比混淆。完整候选变量和超参数可放在附加材料或保存为可复现实验记录。</w:t>
      </w:r>
    </w:p>
    <w:p>
      <w:pPr>
        <w:pStyle w:val="Heading2"/>
      </w:pPr>
      <w:r>
        <w:t>必须补入的事实和数值</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3600"/>
        <w:gridCol w:w="4671"/>
      </w:tblGrid>
      <w:tr>
        <w:trPr>
          <w:cantSplit/>
          <w:tblHeader/>
        </w:trPr>
        <w:tc>
          <w:tcPr>
            <w:tcW w:type="dxa" w:w="1701"/>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模块</w:t>
            </w:r>
          </w:p>
        </w:tc>
        <w:tc>
          <w:tcPr>
            <w:tcW w:type="dxa" w:w="3600"/>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待填写内容</w:t>
            </w:r>
          </w:p>
        </w:tc>
        <w:tc>
          <w:tcPr>
            <w:tcW w:type="dxa" w:w="4671"/>
            <w:vAlign w:val="center"/>
            <w:tcMar>
              <w:top w:w="70" w:type="dxa"/>
              <w:bottom w:w="70" w:type="dxa"/>
              <w:left w:w="95" w:type="dxa"/>
              <w:right w:w="95" w:type="dxa"/>
            </w:tcMar>
            <w:shd w:fill="E8EEF3"/>
          </w:tcPr>
          <w:p>
            <w:pPr>
              <w:keepNext w:val="0"/>
              <w:spacing w:line="280" w:lineRule="exact" w:before="0" w:after="0"/>
              <w:ind w:firstLine="0"/>
              <w:jc w:val="center"/>
            </w:pPr>
            <w:r>
              <w:rPr>
                <w:rFonts w:ascii="Times New Roman" w:hAnsi="Times New Roman" w:eastAsia="SimSun" w:cs="Times New Roman"/>
                <w:b/>
                <w:color w:val="000000"/>
                <w:sz w:val="21"/>
              </w:rPr>
              <w:t>核对依据</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研究区</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层位、埋深、独立平台和井数</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实际资料目录与井信息</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样本</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原始配对、有效配对、重复剔除、微地震子集</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唯一标识和质量记录</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压力</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采样间隔、测点、基线窗、监测完整度</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原始记录及现场操作日志</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聚类</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方法、K、参数、稳定性、最小簇大小</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固定随机种子与分组结果</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标签</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命名、风险映射、阈值及证据等级</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冻结规则和解释核查记录</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微地震</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定位精度、有效事件、有效配对和指标差异</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定位报告、原始事件表</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预测</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分组名单、调参范围、指标与不确定性</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保留测试结果与训练日志</w:t>
            </w:r>
          </w:p>
        </w:tc>
      </w:tr>
      <w:tr>
        <w:trPr>
          <w:cantSplit/>
        </w:trPr>
        <w:tc>
          <w:tcPr>
            <w:tcW w:type="dxa" w:w="1701"/>
            <w:vAlign w:val="center"/>
            <w:tcMar>
              <w:top w:w="70" w:type="dxa"/>
              <w:bottom w:w="70" w:type="dxa"/>
              <w:left w:w="95" w:type="dxa"/>
              <w:right w:w="95" w:type="dxa"/>
            </w:tcMar>
          </w:tcPr>
          <w:p>
            <w:pPr>
              <w:keepNext w:val="0"/>
              <w:spacing w:line="280" w:lineRule="exact" w:before="0" w:after="0"/>
              <w:ind w:firstLine="0"/>
              <w:jc w:val="center"/>
            </w:pPr>
            <w:r>
              <w:rPr>
                <w:rFonts w:ascii="Times New Roman" w:hAnsi="Times New Roman" w:eastAsia="SimSun" w:cs="Times New Roman"/>
                <w:b w:val="0"/>
                <w:color w:val="000000"/>
                <w:sz w:val="21"/>
              </w:rPr>
              <w:t>SHAP</w:t>
            </w:r>
          </w:p>
        </w:tc>
        <w:tc>
          <w:tcPr>
            <w:tcW w:type="dxa" w:w="3600"/>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输出类别、输出尺度、背景集及关键关联</w:t>
            </w:r>
          </w:p>
        </w:tc>
        <w:tc>
          <w:tcPr>
            <w:tcW w:type="dxa" w:w="4671"/>
            <w:vAlign w:val="center"/>
            <w:tcMar>
              <w:top w:w="70" w:type="dxa"/>
              <w:bottom w:w="70" w:type="dxa"/>
              <w:left w:w="95" w:type="dxa"/>
              <w:right w:w="95" w:type="dxa"/>
            </w:tcMar>
          </w:tcPr>
          <w:p>
            <w:pPr>
              <w:keepNext w:val="0"/>
              <w:spacing w:line="280" w:lineRule="exact" w:before="0" w:after="0"/>
              <w:ind w:firstLine="0"/>
              <w:jc w:val="left"/>
            </w:pPr>
            <w:r>
              <w:rPr>
                <w:rFonts w:ascii="Times New Roman" w:hAnsi="Times New Roman" w:eastAsia="SimSun" w:cs="Times New Roman"/>
                <w:b w:val="0"/>
                <w:color w:val="000000"/>
                <w:sz w:val="21"/>
              </w:rPr>
              <w:t>模型解释记录和折外分析</w:t>
            </w:r>
          </w:p>
        </w:tc>
      </w:tr>
    </w:tbl>
    <w:p>
      <w:pPr>
        <w:spacing w:after="0" w:before="0" w:line="80" w:lineRule="exact"/>
      </w:pPr>
      <w:r>
        <w:rPr>
          <w:rFonts w:ascii="Times New Roman" w:hAnsi="Times New Roman" w:eastAsia="SimSun" w:cs="Times New Roman"/>
          <w:b w:val="0"/>
          <w:color w:val="000000"/>
          <w:sz w:val="6"/>
        </w:rPr>
      </w:r>
    </w:p>
    <w:p>
      <w:pPr>
        <w:pStyle w:val="Heading2"/>
      </w:pPr>
      <w:r>
        <w:t>写作和实验衔接顺序</w:t>
      </w:r>
    </w:p>
    <w:p>
      <w:r>
        <w:t>先完成样本和图2，再完成聚类对比、图3—图4及标签表；随后开展微地震检验并冻结风险解释；最后训练分类模型，完成图6—图8、消融及讨论。引言的研究目标和摘要结果在实验整理完成后回写，确保与实际发现一致。</w:t>
      </w:r>
    </w:p>
    <w:p>
      <w:r>
        <w:t>若已有实验与此顺序不同，保留已完成的有效结果，优先补齐其数据划分和标签来源说明。真正需要重做的重点是混入未来信息、测试样本参与类别调节或同段配对跨组等会改变结论的环节。</w:t>
      </w:r>
    </w:p>
    <w:p>
      <w:pPr>
        <w:pStyle w:val="Heading1"/>
        <w:pageBreakBefore/>
      </w:pPr>
      <w:r>
        <w:t>附录C 核心参考文献与引用位置</w:t>
      </w:r>
    </w:p>
    <w:p>
      <w:r>
        <w:t>下列条目用于支持方法选择和解释边界，正文采用作者—年份引用。正式投稿时按IGS格式补齐最终使用文献并按字母排序；文献链接用于查阅原文。</w:t>
      </w:r>
    </w:p>
    <w:p>
      <w:pPr>
        <w:keepNext/>
        <w:ind w:hanging="312" w:left="312"/>
      </w:pPr>
      <w:r>
        <w:rPr>
          <w:rFonts w:ascii="Times New Roman" w:hAnsi="Times New Roman" w:eastAsia="SimSun" w:cs="Times New Roman"/>
          <w:b w:val="0"/>
          <w:color w:val="000000"/>
          <w:sz w:val="21"/>
        </w:rPr>
        <w:t>Cai, Y. and A. Dahi Taleghani. 2022. Using pressure changes in offset wells for interpreting fracture driven interactions (FDI). Journal of Petroleum Science and Engineering 219: 111111.</w:t>
      </w:r>
    </w:p>
    <w:p>
      <w:pPr>
        <w:spacing w:after="160"/>
        <w:ind w:firstLine="0" w:left="312"/>
      </w:pPr>
      <w:hyperlink r:id="rId12">
        <w:r>
          <w:rPr>
            <w:color w:val="224F76"/>
            <w:rFonts w:ascii="Times New Roman" w:eastAsia="SimSun"/>
            <w:sz w:val="21"/>
          </w:rPr>
          <w:t>原文链接</w:t>
        </w:r>
      </w:hyperlink>
      <w:r>
        <w:rPr>
          <w:rFonts w:ascii="Times New Roman" w:hAnsi="Times New Roman" w:eastAsia="SimSun" w:cs="Times New Roman"/>
          <w:b w:val="0"/>
          <w:color w:val="000000"/>
          <w:sz w:val="20"/>
        </w:rPr>
        <w:t xml:space="preserve">  用于引言、风险解释与微地震边界；支持讨论压力幅值和形态受多种作用影响。</w:t>
      </w:r>
    </w:p>
    <w:p>
      <w:pPr>
        <w:keepNext/>
        <w:ind w:hanging="312" w:left="312"/>
      </w:pPr>
      <w:r>
        <w:rPr>
          <w:rFonts w:ascii="Times New Roman" w:hAnsi="Times New Roman" w:eastAsia="SimSun" w:cs="Times New Roman"/>
          <w:b w:val="0"/>
          <w:color w:val="000000"/>
          <w:sz w:val="21"/>
        </w:rPr>
        <w:t>Chen, T. and C. Guestrin. 2016. XGBoost: A Scalable Tree Boosting System. Proceedings of the 22nd ACM SIGKDD International Conference on Knowledge Discovery and Data Mining: 785–794.</w:t>
      </w:r>
    </w:p>
    <w:p>
      <w:pPr>
        <w:spacing w:after="160"/>
        <w:ind w:firstLine="0" w:left="312"/>
      </w:pPr>
      <w:hyperlink r:id="rId13">
        <w:r>
          <w:rPr>
            <w:color w:val="224F76"/>
            <w:rFonts w:ascii="Times New Roman" w:eastAsia="SimSun"/>
            <w:sz w:val="21"/>
          </w:rPr>
          <w:t>原文链接</w:t>
        </w:r>
      </w:hyperlink>
      <w:r>
        <w:rPr>
          <w:rFonts w:ascii="Times New Roman" w:hAnsi="Times New Roman" w:eastAsia="SimSun" w:cs="Times New Roman"/>
          <w:b w:val="0"/>
          <w:color w:val="000000"/>
          <w:sz w:val="20"/>
        </w:rPr>
        <w:t xml:space="preserve">  用于3.7，交代XGBoost方法来源。</w:t>
      </w:r>
    </w:p>
    <w:p>
      <w:pPr>
        <w:keepNext/>
        <w:ind w:hanging="312" w:left="312"/>
      </w:pPr>
      <w:r>
        <w:rPr>
          <w:rFonts w:ascii="Times New Roman" w:hAnsi="Times New Roman" w:eastAsia="SimSun" w:cs="Times New Roman"/>
          <w:b w:val="0"/>
          <w:color w:val="000000"/>
          <w:sz w:val="21"/>
        </w:rPr>
        <w:t>Cuturi, M. and M. Blondel. 2017. Soft-DTW: a Differentiable Loss Function for Time-Series. Proceedings of Machine Learning Research 70: 894–903.</w:t>
      </w:r>
    </w:p>
    <w:p>
      <w:pPr>
        <w:spacing w:after="160"/>
        <w:ind w:firstLine="0" w:left="312"/>
      </w:pPr>
      <w:hyperlink r:id="rId14">
        <w:r>
          <w:rPr>
            <w:color w:val="224F76"/>
            <w:rFonts w:ascii="Times New Roman" w:eastAsia="SimSun"/>
            <w:sz w:val="21"/>
          </w:rPr>
          <w:t>原文链接</w:t>
        </w:r>
      </w:hyperlink>
      <w:r>
        <w:rPr>
          <w:rFonts w:ascii="Times New Roman" w:hAnsi="Times New Roman" w:eastAsia="SimSun" w:cs="Times New Roman"/>
          <w:b w:val="0"/>
          <w:color w:val="000000"/>
          <w:sz w:val="20"/>
        </w:rPr>
        <w:t xml:space="preserve">  用于3.3；若实际未使用Soft-DTW，正式参考文献可删去。</w:t>
      </w:r>
    </w:p>
    <w:p>
      <w:pPr>
        <w:keepNext/>
        <w:ind w:hanging="312" w:left="312"/>
      </w:pPr>
      <w:r>
        <w:rPr>
          <w:rFonts w:ascii="Times New Roman" w:hAnsi="Times New Roman" w:eastAsia="SimSun" w:cs="Times New Roman"/>
          <w:b w:val="0"/>
          <w:color w:val="000000"/>
          <w:sz w:val="21"/>
        </w:rPr>
        <w:t>Lundberg, S. M. and S.-I. Lee. 2017. A Unified Approach to Interpreting Model Predictions. Advances in Neural Information Processing Systems 30.</w:t>
      </w:r>
    </w:p>
    <w:p>
      <w:pPr>
        <w:spacing w:after="160"/>
        <w:ind w:firstLine="0" w:left="312"/>
      </w:pPr>
      <w:hyperlink r:id="rId15">
        <w:r>
          <w:rPr>
            <w:color w:val="224F76"/>
            <w:rFonts w:ascii="Times New Roman" w:eastAsia="SimSun"/>
            <w:sz w:val="21"/>
          </w:rPr>
          <w:t>原文链接</w:t>
        </w:r>
      </w:hyperlink>
      <w:r>
        <w:rPr>
          <w:rFonts w:ascii="Times New Roman" w:hAnsi="Times New Roman" w:eastAsia="SimSun" w:cs="Times New Roman"/>
          <w:b w:val="0"/>
          <w:color w:val="000000"/>
          <w:sz w:val="20"/>
        </w:rPr>
        <w:t xml:space="preserve">  用于3.8，交代SHAP方法来源。</w:t>
      </w:r>
    </w:p>
    <w:p>
      <w:pPr>
        <w:keepNext/>
        <w:ind w:hanging="312" w:left="312"/>
      </w:pPr>
      <w:r>
        <w:rPr>
          <w:rFonts w:ascii="Times New Roman" w:hAnsi="Times New Roman" w:eastAsia="SimSun" w:cs="Times New Roman"/>
          <w:b w:val="0"/>
          <w:color w:val="000000"/>
          <w:sz w:val="21"/>
        </w:rPr>
        <w:t>Lundberg, S. M., G. Erion, H. Chen, A. DeGrave, J. M. Prutkin, B. Nair, R. Katz, J. Himmelfarb, N. Bansal, and S.-I. Lee. 2019. Explainable AI for Trees: From Local Explanations to Global Understanding. arXiv:1905.04610.</w:t>
      </w:r>
    </w:p>
    <w:p>
      <w:pPr>
        <w:spacing w:after="160"/>
        <w:ind w:firstLine="0" w:left="312"/>
      </w:pPr>
      <w:hyperlink r:id="rId16">
        <w:r>
          <w:rPr>
            <w:color w:val="224F76"/>
            <w:rFonts w:ascii="Times New Roman" w:eastAsia="SimSun"/>
            <w:sz w:val="21"/>
          </w:rPr>
          <w:t>原文链接</w:t>
        </w:r>
      </w:hyperlink>
      <w:r>
        <w:rPr>
          <w:rFonts w:ascii="Times New Roman" w:hAnsi="Times New Roman" w:eastAsia="SimSun" w:cs="Times New Roman"/>
          <w:b w:val="0"/>
          <w:color w:val="000000"/>
          <w:sz w:val="20"/>
        </w:rPr>
        <w:t xml:space="preserve">  用于TreeSHAP及交互解释；此处列可核查的作者预印本版本。</w:t>
      </w:r>
    </w:p>
    <w:p>
      <w:pPr>
        <w:keepNext/>
        <w:ind w:hanging="312" w:left="312"/>
      </w:pPr>
      <w:r>
        <w:rPr>
          <w:rFonts w:ascii="Times New Roman" w:hAnsi="Times New Roman" w:eastAsia="SimSun" w:cs="Times New Roman"/>
          <w:b w:val="0"/>
          <w:color w:val="000000"/>
          <w:sz w:val="21"/>
        </w:rPr>
        <w:t>Paparrizos, J. and L. Gravano. 2015. k-Shape: Efficient and Accurate Clustering of Time Series. Proceedings of the 2015 ACM SIGMOD International Conference on Management of Data: 1855–1870.</w:t>
      </w:r>
    </w:p>
    <w:p>
      <w:pPr>
        <w:spacing w:after="160"/>
        <w:ind w:firstLine="0" w:left="312"/>
      </w:pPr>
      <w:hyperlink r:id="rId17">
        <w:r>
          <w:rPr>
            <w:color w:val="224F76"/>
            <w:rFonts w:ascii="Times New Roman" w:eastAsia="SimSun"/>
            <w:sz w:val="21"/>
          </w:rPr>
          <w:t>原文链接</w:t>
        </w:r>
      </w:hyperlink>
      <w:r>
        <w:rPr>
          <w:rFonts w:ascii="Times New Roman" w:hAnsi="Times New Roman" w:eastAsia="SimSun" w:cs="Times New Roman"/>
          <w:b w:val="0"/>
          <w:color w:val="000000"/>
          <w:sz w:val="20"/>
        </w:rPr>
        <w:t xml:space="preserve">  用于3.3，说明基于形状的聚类及标准化造成的幅值信息变化。</w:t>
      </w:r>
    </w:p>
    <w:p>
      <w:pPr>
        <w:keepNext/>
        <w:ind w:hanging="312" w:left="312"/>
      </w:pPr>
      <w:r>
        <w:rPr>
          <w:rFonts w:ascii="Times New Roman" w:hAnsi="Times New Roman" w:eastAsia="SimSun" w:cs="Times New Roman"/>
          <w:b w:val="0"/>
          <w:color w:val="000000"/>
          <w:sz w:val="21"/>
        </w:rPr>
        <w:t>Roberts, D. R., V. Bahn, S. Ciuti, M. S. Boyce, J. Elith, G. Guillera-Arroita, S. Hauenstein, J. J. Lahoz-Monfort, B. Schröder, W. Thuiller, D. I. Warton, B. A. Wintle, F. Hartig, and C. F. Dormann. 2017. Cross-validation strategies for data with temporal, spatial, hierarchical, or phylogenetic structure. Ecography 40: 913–929.</w:t>
      </w:r>
    </w:p>
    <w:p>
      <w:pPr>
        <w:spacing w:after="160"/>
        <w:ind w:firstLine="0" w:left="312"/>
      </w:pPr>
      <w:hyperlink r:id="rId18">
        <w:r>
          <w:rPr>
            <w:color w:val="224F76"/>
            <w:rFonts w:ascii="Times New Roman" w:eastAsia="SimSun"/>
            <w:sz w:val="21"/>
          </w:rPr>
          <w:t>原文链接</w:t>
        </w:r>
      </w:hyperlink>
      <w:r>
        <w:rPr>
          <w:rFonts w:ascii="Times New Roman" w:hAnsi="Times New Roman" w:eastAsia="SimSun" w:cs="Times New Roman"/>
          <w:b w:val="0"/>
          <w:color w:val="000000"/>
          <w:sz w:val="20"/>
        </w:rPr>
        <w:t xml:space="preserve">  用于3.7，支撑存在分组相关性时采用适当划分；井和平台分组是本文针对数据结构的设计。</w:t>
      </w:r>
    </w:p>
    <w:p>
      <w:pPr>
        <w:pStyle w:val="Heading1"/>
        <w:pageBreakBefore/>
      </w:pPr>
      <w:r>
        <w:t>附录C 核心参考文献与引用位置续</w:t>
      </w:r>
    </w:p>
    <w:p>
      <w:pPr>
        <w:keepNext/>
        <w:ind w:hanging="312" w:left="312"/>
      </w:pPr>
      <w:r>
        <w:rPr>
          <w:rFonts w:ascii="Times New Roman" w:hAnsi="Times New Roman" w:eastAsia="SimSun" w:cs="Times New Roman"/>
          <w:b w:val="0"/>
          <w:color w:val="000000"/>
          <w:sz w:val="21"/>
        </w:rPr>
        <w:t>Roussel, N. P. and S. Agrawal. 2017. Introduction to Poroelastic Response Monitoring – Quantifying Hydraulic Fracture Geometry and SRV Permeability from Offset-Well Pressure Data. Unconventional Resources Technology Conference. URTEC-2645414-MS.</w:t>
      </w:r>
    </w:p>
    <w:p>
      <w:pPr>
        <w:spacing w:after="160"/>
        <w:ind w:firstLine="0" w:left="312"/>
      </w:pPr>
      <w:hyperlink r:id="rId19">
        <w:r>
          <w:rPr>
            <w:color w:val="224F76"/>
            <w:rFonts w:ascii="Times New Roman" w:eastAsia="SimSun"/>
            <w:sz w:val="21"/>
          </w:rPr>
          <w:t>原文链接</w:t>
        </w:r>
      </w:hyperlink>
      <w:r>
        <w:rPr>
          <w:rFonts w:ascii="Times New Roman" w:hAnsi="Times New Roman" w:eastAsia="SimSun" w:cs="Times New Roman"/>
          <w:b w:val="0"/>
          <w:color w:val="000000"/>
          <w:sz w:val="20"/>
        </w:rPr>
        <w:t xml:space="preserve">  补充阅读方向：邻井压力与孔弹性作用。出版记录可核查，全文需另行获取后再深入引用。</w:t>
      </w:r>
    </w:p>
    <w:p>
      <w:pPr>
        <w:keepNext/>
        <w:ind w:hanging="312" w:left="312"/>
      </w:pPr>
      <w:r>
        <w:rPr>
          <w:rFonts w:ascii="Times New Roman" w:hAnsi="Times New Roman" w:eastAsia="SimSun" w:cs="Times New Roman"/>
          <w:b w:val="0"/>
          <w:color w:val="000000"/>
          <w:sz w:val="21"/>
        </w:rPr>
        <w:t>Roussel, N. P. and M. M. Sharma. 2011. Optimizing Fracture Spacing and Sequencing in Horizontal-Well Fracturing. SPE Production &amp; Operations 26(2): 173–184.</w:t>
      </w:r>
    </w:p>
    <w:p>
      <w:pPr>
        <w:spacing w:after="160"/>
        <w:ind w:firstLine="0" w:left="312"/>
      </w:pPr>
      <w:hyperlink r:id="rId20">
        <w:r>
          <w:rPr>
            <w:color w:val="224F76"/>
            <w:rFonts w:ascii="Times New Roman" w:eastAsia="SimSun"/>
            <w:sz w:val="21"/>
          </w:rPr>
          <w:t>原文链接</w:t>
        </w:r>
      </w:hyperlink>
      <w:r>
        <w:rPr>
          <w:rFonts w:ascii="Times New Roman" w:hAnsi="Times New Roman" w:eastAsia="SimSun" w:cs="Times New Roman"/>
          <w:b w:val="0"/>
          <w:color w:val="000000"/>
          <w:sz w:val="20"/>
        </w:rPr>
        <w:t xml:space="preserve">  补充阅读方向：裂缝间距、施工顺序和应力作用。出版记录可核查，全文需另行获取后再深入引用。</w:t>
      </w:r>
    </w:p>
    <w:p>
      <w:pPr>
        <w:keepNext/>
        <w:ind w:hanging="312" w:left="312"/>
      </w:pPr>
      <w:r>
        <w:rPr>
          <w:rFonts w:ascii="Times New Roman" w:hAnsi="Times New Roman" w:eastAsia="SimSun" w:cs="Times New Roman"/>
          <w:b w:val="0"/>
          <w:color w:val="000000"/>
          <w:sz w:val="21"/>
        </w:rPr>
        <w:t>Seth, P., R. Manchanda, A. Kumar, and M. M. Sharma. 2021. Analyzing Pressure Interference Between Horizontal Wells During Fracturing. Journal of Petroleum Science and Engineering 204: 108696.</w:t>
      </w:r>
    </w:p>
    <w:p>
      <w:pPr>
        <w:spacing w:after="160"/>
        <w:ind w:firstLine="0" w:left="312"/>
      </w:pPr>
      <w:hyperlink r:id="rId21">
        <w:r>
          <w:rPr>
            <w:color w:val="224F76"/>
            <w:rFonts w:ascii="Times New Roman" w:eastAsia="SimSun"/>
            <w:sz w:val="21"/>
          </w:rPr>
          <w:t>原文链接</w:t>
        </w:r>
      </w:hyperlink>
      <w:r>
        <w:rPr>
          <w:rFonts w:ascii="Times New Roman" w:hAnsi="Times New Roman" w:eastAsia="SimSun" w:cs="Times New Roman"/>
          <w:b w:val="0"/>
          <w:color w:val="000000"/>
          <w:sz w:val="20"/>
        </w:rPr>
        <w:t xml:space="preserve">  用于引言及5.1，讨论裂缝机械相互作用也能产生邻井压力响应。</w:t>
      </w:r>
    </w:p>
    <w:p>
      <w:pPr>
        <w:keepNext/>
        <w:ind w:hanging="312" w:left="312"/>
      </w:pPr>
      <w:r>
        <w:rPr>
          <w:rFonts w:ascii="Times New Roman" w:hAnsi="Times New Roman" w:eastAsia="SimSun" w:cs="Times New Roman"/>
          <w:b w:val="0"/>
          <w:color w:val="000000"/>
          <w:sz w:val="21"/>
        </w:rPr>
        <w:t>Tavenard, R., J. Faouzi, G. Vandewiele, F. Divo, G. Androz, C. Holtz, M. Payne, R. Yurchak, M. Rußwurm, K. Kolar, and E. Woods. 2020. Tslearn, A Machine Learning Toolkit for Time Series Data. Journal of Machine Learning Research 21(118): 1–6.</w:t>
      </w:r>
    </w:p>
    <w:p>
      <w:pPr>
        <w:spacing w:after="160"/>
        <w:ind w:firstLine="0" w:left="312"/>
      </w:pPr>
      <w:hyperlink r:id="rId22">
        <w:r>
          <w:rPr>
            <w:color w:val="224F76"/>
            <w:rFonts w:ascii="Times New Roman" w:eastAsia="SimSun"/>
            <w:sz w:val="21"/>
          </w:rPr>
          <w:t>原文链接</w:t>
        </w:r>
      </w:hyperlink>
      <w:r>
        <w:rPr>
          <w:rFonts w:ascii="Times New Roman" w:hAnsi="Times New Roman" w:eastAsia="SimSun" w:cs="Times New Roman"/>
          <w:b w:val="0"/>
          <w:color w:val="000000"/>
          <w:sz w:val="20"/>
        </w:rPr>
        <w:t xml:space="preserve">  用于3.3，实现工具来源；正式稿还需记录实际使用的软件版本。</w:t>
      </w:r>
    </w:p>
    <w:p>
      <w:pPr>
        <w:pStyle w:val="Heading2"/>
      </w:pPr>
      <w:r>
        <w:t>后续文献补充的针对性方向</w:t>
      </w:r>
    </w:p>
    <w:p>
      <w:r>
        <w:t>深层页岩气现场研究需补充与实际区块、井况和资料相近的压力响应及微地震论文；机器学习部分需补充以地质工程参数预测井间干扰的近期现场研究，并比较其标签来源与验证方式。</w:t>
      </w:r>
    </w:p>
    <w:p>
      <w:r>
        <w:t>地质力学部分优先查找天然裂缝与水力裂缝交互、层间应力屏障、耗竭区应力变化和断裂滑移判据的原始研究。只保留与最终采用变量或讨论直接相关的文献，避免以通用算法文献占据全文大部分参考文献。</w:t>
      </w:r>
    </w:p>
    <w:p>
      <w:pPr>
        <w:pStyle w:val="Heading2"/>
      </w:pPr>
      <w:r>
        <w:t>正式稿的结果与论据对应</w:t>
      </w:r>
    </w:p>
    <w:p>
      <w:r>
        <w:t>聚类发现由图3—图4和表3支撑；风险解释由图5及现场记录支撑；压前预测能力由分组测试、图6和表4支撑；地质力学参数价值由相同样本消融及图7支撑；工程使用边界由图8和误差分析支撑。每条结论均回到对应的实测图表。</w:t>
      </w:r>
    </w:p>
    <w:sectPr w:rsidR="00FC693F" w:rsidRPr="0006063C" w:rsidSect="00034616">
      <w:headerReference w:type="default" r:id="rId9"/>
      <w:footerReference w:type="default" r:id="rId10"/>
      <w:pgSz w:w="12240" w:h="15840"/>
      <w:pgMar w:top="1077" w:right="1134" w:bottom="1049" w:left="113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SimSun" w:cs="Times New Roman"/>
        <w:b w:val="0"/>
        <w:color w:val="000000"/>
        <w:sz w:val="18"/>
      </w:rPr>
      <w:t xml:space="preserve">第 </w:t>
    </w:r>
    <w:r>
      <w:rPr>
        <w:rFonts w:ascii="Times New Roman" w:hAnsi="Times New Roman" w:eastAsia="SimSun" w:cs="Times New Roman"/>
        <w:b w:val="0"/>
        <w:color w:val="000000"/>
        <w:sz w:val="18"/>
      </w:rPr>
    </w:r>
    <w:fldSimple w:instr="PAGE">
      <w:r>
        <w:t>1</w:t>
      </w:r>
    </w:fldSimple>
    <w:r>
      <w:rPr>
        <w:rFonts w:ascii="Times New Roman" w:hAnsi="Times New Roman" w:eastAsia="SimSun" w:cs="Times New Roman"/>
        <w:b w:val="0"/>
        <w:color w:val="000000"/>
        <w:sz w:val="18"/>
      </w:rPr>
      <w:t xml:space="preserve"> 页  共 </w:t>
    </w:r>
    <w:r>
      <w:rPr>
        <w:rFonts w:ascii="Times New Roman" w:hAnsi="Times New Roman" w:eastAsia="SimSun" w:cs="Times New Roman"/>
        <w:b w:val="0"/>
        <w:color w:val="000000"/>
        <w:sz w:val="18"/>
      </w:rPr>
    </w:r>
    <w:fldSimple w:instr="NUMPAGES">
      <w:r>
        <w:t>1</w:t>
      </w:r>
    </w:fldSimple>
    <w:r>
      <w:rPr>
        <w:rFonts w:ascii="Times New Roman" w:hAnsi="Times New Roman" w:eastAsia="SimSun" w:cs="Times New Roman"/>
        <w:b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eastAsia="SimSun" w:cs="Times New Roman"/>
        <w:b w:val="0"/>
        <w:color w:val="000000"/>
        <w:sz w:val="18"/>
      </w:rPr>
      <w:t>IGS会议全文中文详细框架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0" w:lineRule="exact" w:before="0" w:after="80"/>
      <w:ind w:firstLine="312"/>
      <w:jc w:val="both"/>
    </w:pPr>
    <w:rPr>
      <w:rFonts w:ascii="Times New Roman" w:hAnsi="Times New Roman" w:eastAsia="SimSun" w:cs="Times New Roman"/>
      <w:b w:val="0"/>
      <w:i w:val="0"/>
      <w:color w:val="000000"/>
      <w:sz w:val="23"/>
    </w:rPr>
  </w:style>
  <w:style w:type="paragraph" w:styleId="Header">
    <w:name w:val="header"/>
    <w:basedOn w:val="Normal"/>
    <w:link w:val="HeaderChar"/>
    <w:uiPriority w:val="99"/>
    <w:unhideWhenUsed/>
    <w:rsid w:val="00E618BF"/>
    <w:pPr>
      <w:widowControl/>
      <w:tabs>
        <w:tab w:val="center" w:pos="4680"/>
        <w:tab w:val="right" w:pos="9360"/>
      </w:tabs>
      <w:spacing w:after="80" w:line="320" w:lineRule="exact" w:before="0"/>
    </w:pPr>
    <w:rPr>
      <w:rFonts w:ascii="Times New Roman" w:hAnsi="Times New Roman" w:eastAsia="SimSun" w:cs="Times New Roman"/>
      <w:b w:val="0"/>
      <w:i w:val="0"/>
      <w:color w:val="000000"/>
      <w:sz w:val="23"/>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80" w:line="320" w:lineRule="exact" w:before="0"/>
    </w:pPr>
    <w:rPr>
      <w:rFonts w:ascii="Times New Roman" w:hAnsi="Times New Roman" w:eastAsia="SimSun" w:cs="Times New Roman"/>
      <w:b w:val="0"/>
      <w:i w:val="0"/>
      <w:color w:val="000000"/>
      <w:sz w:val="23"/>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00" w:line="420" w:lineRule="exact"/>
      <w:ind w:firstLine="0"/>
      <w:outlineLvl w:val="0"/>
    </w:pPr>
    <w:rPr>
      <w:rFonts w:ascii="Times New Roman" w:hAnsi="Times New Roman" w:eastAsia="SimSun" w:cs="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180" w:after="100" w:line="340" w:lineRule="exact"/>
      <w:ind w:firstLine="0"/>
      <w:outlineLvl w:val="1"/>
    </w:pPr>
    <w:rPr>
      <w:rFonts w:ascii="Times New Roman" w:hAnsi="Times New Roman" w:eastAsia="SimSu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80" w:after="100" w:line="340" w:lineRule="exact"/>
      <w:ind w:firstLine="0"/>
      <w:outlineLvl w:val="2"/>
    </w:pPr>
    <w:rPr>
      <w:rFonts w:ascii="Times New Roman" w:hAnsi="Times New Roman" w:eastAsia="SimSun" w:cs="Times New Roman"/>
      <w:b/>
      <w:bCs/>
      <w:i w:val="0"/>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480" w:lineRule="exact" w:before="0"/>
      <w:ind w:firstLine="0"/>
      <w:contextualSpacing/>
    </w:pPr>
    <w:rPr>
      <w:rFonts w:ascii="Times New Roman" w:hAnsi="Times New Roman" w:eastAsia="SimSun" w:cs="Times New Roman"/>
      <w:b/>
      <w:i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spacing w:line="380" w:lineRule="exact" w:before="0" w:after="80"/>
      <w:ind w:firstLine="0"/>
    </w:pPr>
    <w:rPr>
      <w:rFonts w:ascii="Times New Roman" w:hAnsi="Times New Roman" w:eastAsia="SimSun" w:cs="Times New Roman"/>
      <w:b/>
      <w:i w:val="0"/>
      <w:iCs/>
      <w:color w:val="00000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320" w:lineRule="exact" w:before="0" w:after="120"/>
      <w:ind w:firstLine="0"/>
      <w:jc w:val="center"/>
    </w:pPr>
    <w:rPr>
      <w:rFonts w:ascii="Times New Roman" w:hAnsi="Times New Roman" w:eastAsia="SimSun" w:cs="Times New Roma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sciencedirect.com/science/article/pii/S0920410522009639" TargetMode="External"/><Relationship Id="rId13" Type="http://schemas.openxmlformats.org/officeDocument/2006/relationships/hyperlink" Target="https://arxiv.org/abs/1603.02754" TargetMode="External"/><Relationship Id="rId14" Type="http://schemas.openxmlformats.org/officeDocument/2006/relationships/hyperlink" Target="https://proceedings.mlr.press/v70/cuturi17a.html" TargetMode="External"/><Relationship Id="rId15" Type="http://schemas.openxmlformats.org/officeDocument/2006/relationships/hyperlink" Target="https://arxiv.org/abs/1705.07874" TargetMode="External"/><Relationship Id="rId16" Type="http://schemas.openxmlformats.org/officeDocument/2006/relationships/hyperlink" Target="https://arxiv.org/abs/1905.04610" TargetMode="External"/><Relationship Id="rId17" Type="http://schemas.openxmlformats.org/officeDocument/2006/relationships/hyperlink" Target="https://www.paparrizos.org/papers/PaparrizosSIGMOD15.pdf" TargetMode="External"/><Relationship Id="rId18" Type="http://schemas.openxmlformats.org/officeDocument/2006/relationships/hyperlink" Target="https://nsojournals.onlinelibrary.wiley.com/doi/10.1111/ecog.02881" TargetMode="External"/><Relationship Id="rId19" Type="http://schemas.openxmlformats.org/officeDocument/2006/relationships/hyperlink" Target="https://onepetro.org/URTECONF/proceedings/17URTC/17URTC/URTEC-2645414-MS/156855" TargetMode="External"/><Relationship Id="rId20" Type="http://schemas.openxmlformats.org/officeDocument/2006/relationships/hyperlink" Target="https://onepetro.org/PO/article/26/02/173/198020/Optimizing-Fracture-Spacing-and-Sequencing-in" TargetMode="External"/><Relationship Id="rId21" Type="http://schemas.openxmlformats.org/officeDocument/2006/relationships/hyperlink" Target="https://www.sciencedirect.com/science/article/pii/S0920410521003569" TargetMode="External"/><Relationship Id="rId22" Type="http://schemas.openxmlformats.org/officeDocument/2006/relationships/hyperlink" Target="https://jmlr.org/papers/v21/20-09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IGS会议全文中文详细框架</dc:title>
  <dc:subject>深层页岩气邻井压力响应模式识别与压窜风险预测</dc:subject>
  <dc:creator/>
  <cp:keywords>IGS; 深层页岩气; 压窜; 时序聚类; 微地震; 地质力学; SHAP</cp:keywords>
  <dc:description/>
  <cp:lastModifiedBy/>
  <cp:revision>1</cp:revision>
  <dcterms:created xsi:type="dcterms:W3CDTF">2013-12-23T23:15:00Z</dcterms:created>
  <dcterms:modified xsi:type="dcterms:W3CDTF">2013-12-23T23:15:00Z</dcterms:modified>
  <cp:category/>
</cp:coreProperties>
</file>