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SimSun"/>
          <w:b w:val="0"/>
          <w:color w:val="000000"/>
          <w:sz w:val="40"/>
        </w:rPr>
        <w:t>IGS 会议论文研究框架</w:t>
      </w:r>
    </w:p>
    <w:p>
      <w:pPr>
        <w:spacing w:line="360" w:lineRule="exact" w:after="60"/>
        <w:ind w:firstLine="480"/>
        <w:jc w:val="both"/>
      </w:pPr>
      <w:r>
        <w:rPr>
          <w:rFonts w:ascii="Times New Roman" w:hAnsi="Times New Roman" w:eastAsia="SimSun"/>
          <w:color w:val="000000"/>
          <w:sz w:val="24"/>
        </w:rPr>
        <w:t>研究对象为 L201H5 四井平台。会议稿保留已录用题目，以可复核的压力响应识别和探索性风险预测形成完整研究；后续 SPE Journal 再增加严格的时间预警、独立平台验证和工程效果评价。会议阶段收敛研究范围，同时保持数据与结论的可信度。</w:t>
      </w:r>
    </w:p>
    <w:p>
      <w:pPr>
        <w:pStyle w:val="Heading2"/>
      </w:pPr>
      <w:r>
        <w:rPr>
          <w:rFonts w:ascii="Times New Roman" w:hAnsi="Times New Roman" w:eastAsia="SimSun"/>
          <w:b/>
          <w:color w:val="000000"/>
          <w:sz w:val="24"/>
        </w:rPr>
        <w:t>已录用题目与署名</w:t>
      </w:r>
    </w:p>
    <w:p>
      <w:pPr>
        <w:spacing w:line="360" w:lineRule="exact" w:after="60"/>
        <w:ind w:firstLine="0"/>
        <w:jc w:val="both"/>
      </w:pPr>
      <w:r>
        <w:rPr>
          <w:rFonts w:ascii="Times New Roman" w:hAnsi="Times New Roman" w:eastAsia="SimSun"/>
          <w:color w:val="000000"/>
          <w:sz w:val="21"/>
        </w:rPr>
        <w:t>An Interpretable Machine-Learning Framework for Pressure-Response Pattern Recognition and Frac-Hit Prediction in Deep Shale Gas Reservoirs</w:t>
      </w:r>
    </w:p>
    <w:p>
      <w:pPr>
        <w:spacing w:line="230" w:lineRule="exact" w:after="60"/>
        <w:ind w:firstLine="0"/>
        <w:jc w:val="left"/>
      </w:pPr>
      <w:r>
        <w:rPr>
          <w:rFonts w:ascii="Times New Roman" w:hAnsi="Times New Roman" w:eastAsia="SimSun"/>
          <w:color w:val="000000"/>
          <w:sz w:val="19"/>
        </w:rPr>
        <w:t>Zhao Cheng, Wendong Wang*, Yuxuan Deng, Wubin Yan &amp; Yuliang Su</w:t>
        <w:br/>
        <w:t>State Key Laboratory of Deep Oil and Gas, China University of Petroleum (East China), Qingdao, Shandong 266580, China</w:t>
        <w:br/>
        <w:t>Wenfeng Yu</w:t>
        <w:br/>
        <w:t>Shale Gas Research Institute, PetroChina Southwest Oil &amp; Gasfield Company, Chengdu 610051, China</w:t>
        <w:br/>
        <w:t>Sichuan Key Laboratory of Shale Gas Evaluation and Exploitation, Chengdu 610213, China</w:t>
        <w:br/>
        <w:t>* Corresponding author: wwdong@upc.edu.cn</w:t>
      </w:r>
    </w:p>
    <w:p>
      <w:pPr>
        <w:pStyle w:val="Heading2"/>
      </w:pPr>
      <w:r>
        <w:rPr>
          <w:rFonts w:ascii="Times New Roman" w:hAnsi="Times New Roman" w:eastAsia="SimSun"/>
          <w:b/>
          <w:color w:val="000000"/>
          <w:sz w:val="24"/>
        </w:rPr>
        <w:t>当前可以成立的研究主线</w:t>
      </w:r>
    </w:p>
    <w:p>
      <w:pPr>
        <w:spacing w:line="360" w:lineRule="exact" w:after="60"/>
        <w:ind w:firstLine="480"/>
        <w:jc w:val="both"/>
      </w:pPr>
      <w:r>
        <w:rPr>
          <w:rFonts w:ascii="Times New Roman" w:hAnsi="Times New Roman" w:eastAsia="SimSun"/>
          <w:color w:val="000000"/>
          <w:sz w:val="24"/>
        </w:rPr>
        <w:t>以“压裂段 × 邻井”为样本，将完整施工期压力用于事后形态识别，将施工开始前已经可得的几何、基线压力、测井力学解释和参考层位地震属性用于预测。微地震单独支持案例解释。当前主分析包含 78 个施工段、229 个井对样本，其中 27 个达到持续压力越限标准。</w:t>
      </w:r>
    </w:p>
    <w:p>
      <w:pPr>
        <w:spacing w:line="240" w:lineRule="auto"/>
        <w:ind w:firstLine="0"/>
        <w:jc w:val="center"/>
      </w:pPr>
      <w:r>
        <w:drawing>
          <wp:inline xmlns:a="http://schemas.openxmlformats.org/drawingml/2006/main" xmlns:pic="http://schemas.openxmlformats.org/drawingml/2006/picture">
            <wp:extent cx="6126480" cy="3063240"/>
            <wp:docPr id="1" name="Picture 1"/>
            <wp:cNvGraphicFramePr>
              <a:graphicFrameLocks noChangeAspect="1"/>
            </wp:cNvGraphicFramePr>
            <a:graphic>
              <a:graphicData uri="http://schemas.openxmlformats.org/drawingml/2006/picture">
                <pic:pic>
                  <pic:nvPicPr>
                    <pic:cNvPr id="0" name="concept_workflow.png"/>
                    <pic:cNvPicPr/>
                  </pic:nvPicPr>
                  <pic:blipFill>
                    <a:blip r:embed="rId9"/>
                    <a:stretch>
                      <a:fillRect/>
                    </a:stretch>
                  </pic:blipFill>
                  <pic:spPr>
                    <a:xfrm>
                      <a:off x="0" y="0"/>
                      <a:ext cx="6126480" cy="3063240"/>
                    </a:xfrm>
                    <a:prstGeom prst="rect"/>
                  </pic:spPr>
                </pic:pic>
              </a:graphicData>
            </a:graphic>
          </wp:inline>
        </w:drawing>
      </w:r>
    </w:p>
    <w:p>
      <w:pPr>
        <w:spacing w:line="260" w:lineRule="exact" w:after="80"/>
        <w:ind w:firstLine="0"/>
        <w:jc w:val="center"/>
      </w:pPr>
      <w:r>
        <w:rPr>
          <w:rFonts w:ascii="Times New Roman" w:hAnsi="Times New Roman" w:eastAsia="SimSun"/>
          <w:color w:val="000000"/>
          <w:sz w:val="21"/>
        </w:rPr>
        <w:t>图 1 研究数据流概念图。井组几何仅作示意；数据结果在全文中独立展示。</w:t>
      </w:r>
    </w:p>
    <w:p>
      <w:r>
        <w:br w:type="page"/>
      </w:r>
    </w:p>
    <w:p>
      <w:pPr>
        <w:pStyle w:val="Heading1"/>
      </w:pPr>
      <w:r>
        <w:rPr>
          <w:rFonts w:ascii="Times New Roman" w:hAnsi="Times New Roman" w:eastAsia="SimSun"/>
          <w:b/>
          <w:color w:val="000000"/>
          <w:sz w:val="30"/>
        </w:rPr>
        <w:t>数据范围与证据层级</w:t>
      </w:r>
    </w:p>
    <w:p>
      <w:pPr>
        <w:spacing w:line="260" w:lineRule="exact" w:after="80"/>
        <w:ind w:firstLine="0"/>
        <w:jc w:val="center"/>
      </w:pPr>
      <w:r>
        <w:rPr>
          <w:rFonts w:ascii="Times New Roman" w:hAnsi="Times New Roman" w:eastAsia="SimSun"/>
          <w:color w:val="000000"/>
          <w:sz w:val="21"/>
        </w:rPr>
        <w:t>表 1 现有数据与论文中的实际作用</w:t>
      </w:r>
    </w:p>
    <w:tbl>
      <w:tblPr>
        <w:tblW w:type="auto" w:w="0"/>
        <w:jc w:val="center"/>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728"/>
        <w:gridCol w:w="2952"/>
        <w:gridCol w:w="5400"/>
      </w:tblGrid>
      <w:tr>
        <w:trPr>
          <w:tblHeader/>
          <w:cantSplit/>
        </w:trPr>
        <w:tc>
          <w:tcPr>
            <w:tcW w:type="dxa" w:w="1728"/>
            <w:vAlign w:val="center"/>
            <w:tcMar>
              <w:top w:w="60" w:type="dxa"/>
              <w:bottom w:w="60" w:type="dxa"/>
              <w:left w:w="65" w:type="dxa"/>
              <w:right w:w="65" w:type="dxa"/>
            </w:tcMar>
            <w:tcBorders>
              <w:bottom w:val="single" w:sz="6" w:color="000000"/>
            </w:tcBorders>
          </w:tcPr>
          <w:p>
            <w:pPr>
              <w:spacing w:line="260" w:lineRule="exact" w:before="0" w:after="0"/>
              <w:ind w:firstLine="0"/>
              <w:jc w:val="center"/>
            </w:pPr>
            <w:r>
              <w:rPr>
                <w:rFonts w:ascii="Times New Roman" w:hAnsi="Times New Roman" w:eastAsia="SimSun"/>
                <w:b/>
                <w:color w:val="000000"/>
                <w:sz w:val="21"/>
              </w:rPr>
              <w:t>资料</w:t>
            </w:r>
          </w:p>
        </w:tc>
        <w:tc>
          <w:tcPr>
            <w:tcW w:type="dxa" w:w="2952"/>
            <w:vAlign w:val="center"/>
            <w:tcMar>
              <w:top w:w="60" w:type="dxa"/>
              <w:bottom w:w="60" w:type="dxa"/>
              <w:left w:w="65" w:type="dxa"/>
              <w:right w:w="65" w:type="dxa"/>
            </w:tcMar>
            <w:tcBorders>
              <w:bottom w:val="single" w:sz="6" w:color="000000"/>
            </w:tcBorders>
          </w:tcPr>
          <w:p>
            <w:pPr>
              <w:spacing w:line="260" w:lineRule="exact" w:before="0" w:after="0"/>
              <w:ind w:firstLine="0"/>
              <w:jc w:val="center"/>
            </w:pPr>
            <w:r>
              <w:rPr>
                <w:rFonts w:ascii="Times New Roman" w:hAnsi="Times New Roman" w:eastAsia="SimSun"/>
                <w:b/>
                <w:color w:val="000000"/>
                <w:sz w:val="21"/>
              </w:rPr>
              <w:t>已核实数量或覆盖</w:t>
            </w:r>
          </w:p>
        </w:tc>
        <w:tc>
          <w:tcPr>
            <w:tcW w:type="dxa" w:w="5400"/>
            <w:vAlign w:val="center"/>
            <w:tcMar>
              <w:top w:w="60" w:type="dxa"/>
              <w:bottom w:w="60" w:type="dxa"/>
              <w:left w:w="65" w:type="dxa"/>
              <w:right w:w="65" w:type="dxa"/>
            </w:tcMar>
            <w:tcBorders>
              <w:bottom w:val="single" w:sz="6" w:color="000000"/>
            </w:tcBorders>
          </w:tcPr>
          <w:p>
            <w:pPr>
              <w:spacing w:line="260" w:lineRule="exact" w:before="0" w:after="0"/>
              <w:ind w:firstLine="0"/>
              <w:jc w:val="center"/>
            </w:pPr>
            <w:r>
              <w:rPr>
                <w:rFonts w:ascii="Times New Roman" w:hAnsi="Times New Roman" w:eastAsia="SimSun"/>
                <w:b/>
                <w:color w:val="000000"/>
                <w:sz w:val="21"/>
              </w:rPr>
              <w:t>本轮用途与边界</w:t>
            </w:r>
          </w:p>
        </w:tc>
      </w:tr>
      <w:tr>
        <w:trPr>
          <w:cantSplit/>
        </w:trPr>
        <w:tc>
          <w:tcPr>
            <w:tcW w:type="dxa" w:w="1728"/>
            <w:vAlign w:val="center"/>
            <w:tcMar>
              <w:top w:w="60" w:type="dxa"/>
              <w:bottom w:w="60" w:type="dxa"/>
              <w:left w:w="65" w:type="dxa"/>
              <w:right w:w="65" w:type="dxa"/>
            </w:tcMar>
          </w:tcPr>
          <w:p>
            <w:pPr>
              <w:spacing w:line="260" w:lineRule="exact" w:before="0" w:after="0"/>
              <w:ind w:firstLine="0"/>
              <w:jc w:val="center"/>
            </w:pPr>
            <w:r>
              <w:rPr>
                <w:rFonts w:ascii="Times New Roman" w:hAnsi="Times New Roman" w:eastAsia="SimSun"/>
                <w:b w:val="0"/>
                <w:color w:val="000000"/>
                <w:sz w:val="21"/>
              </w:rPr>
              <w:t>分段与射孔</w:t>
            </w:r>
          </w:p>
        </w:tc>
        <w:tc>
          <w:tcPr>
            <w:tcW w:type="dxa" w:w="2952"/>
            <w:vAlign w:val="center"/>
            <w:tcMar>
              <w:top w:w="60" w:type="dxa"/>
              <w:bottom w:w="60" w:type="dxa"/>
              <w:left w:w="65" w:type="dxa"/>
              <w:right w:w="65" w:type="dxa"/>
            </w:tcMar>
          </w:tcPr>
          <w:p>
            <w:pPr>
              <w:spacing w:line="260" w:lineRule="exact" w:before="0" w:after="0"/>
              <w:ind w:firstLine="0"/>
              <w:jc w:val="left"/>
            </w:pPr>
            <w:r>
              <w:rPr>
                <w:rFonts w:ascii="Times New Roman" w:hAnsi="Times New Roman" w:eastAsia="SimSun"/>
                <w:b w:val="0"/>
                <w:color w:val="000000"/>
                <w:sz w:val="21"/>
              </w:rPr>
              <w:t>98 个设计段；578 个有效簇</w:t>
            </w:r>
          </w:p>
        </w:tc>
        <w:tc>
          <w:tcPr>
            <w:tcW w:type="dxa" w:w="5400"/>
            <w:vAlign w:val="center"/>
            <w:tcMar>
              <w:top w:w="60" w:type="dxa"/>
              <w:bottom w:w="60" w:type="dxa"/>
              <w:left w:w="65" w:type="dxa"/>
              <w:right w:w="65" w:type="dxa"/>
            </w:tcMar>
          </w:tcPr>
          <w:p>
            <w:pPr>
              <w:spacing w:line="260" w:lineRule="exact" w:before="0" w:after="0"/>
              <w:ind w:firstLine="0"/>
              <w:jc w:val="left"/>
            </w:pPr>
            <w:r>
              <w:rPr>
                <w:rFonts w:ascii="Times New Roman" w:hAnsi="Times New Roman" w:eastAsia="SimSun"/>
                <w:b w:val="0"/>
                <w:color w:val="000000"/>
                <w:sz w:val="21"/>
              </w:rPr>
              <w:t>按实际施工记录联结；设计段数不等于有效响应样本数。</w:t>
            </w:r>
          </w:p>
        </w:tc>
      </w:tr>
      <w:tr>
        <w:trPr>
          <w:cantSplit/>
        </w:trPr>
        <w:tc>
          <w:tcPr>
            <w:tcW w:type="dxa" w:w="1728"/>
            <w:vAlign w:val="center"/>
            <w:tcMar>
              <w:top w:w="60" w:type="dxa"/>
              <w:bottom w:w="60" w:type="dxa"/>
              <w:left w:w="65" w:type="dxa"/>
              <w:right w:w="65" w:type="dxa"/>
            </w:tcMar>
          </w:tcPr>
          <w:p>
            <w:pPr>
              <w:spacing w:line="260" w:lineRule="exact" w:before="0" w:after="0"/>
              <w:ind w:firstLine="0"/>
              <w:jc w:val="center"/>
            </w:pPr>
            <w:r>
              <w:rPr>
                <w:rFonts w:ascii="Times New Roman" w:hAnsi="Times New Roman" w:eastAsia="SimSun"/>
                <w:b w:val="0"/>
                <w:color w:val="000000"/>
                <w:sz w:val="21"/>
              </w:rPr>
              <w:t>施工与邻井压力</w:t>
            </w:r>
          </w:p>
        </w:tc>
        <w:tc>
          <w:tcPr>
            <w:tcW w:type="dxa" w:w="2952"/>
            <w:vAlign w:val="center"/>
            <w:tcMar>
              <w:top w:w="60" w:type="dxa"/>
              <w:bottom w:w="60" w:type="dxa"/>
              <w:left w:w="65" w:type="dxa"/>
              <w:right w:w="65" w:type="dxa"/>
            </w:tcMar>
          </w:tcPr>
          <w:p>
            <w:pPr>
              <w:spacing w:line="260" w:lineRule="exact" w:before="0" w:after="0"/>
              <w:ind w:firstLine="0"/>
              <w:jc w:val="left"/>
            </w:pPr>
            <w:r>
              <w:rPr>
                <w:rFonts w:ascii="Times New Roman" w:hAnsi="Times New Roman" w:eastAsia="SimSun"/>
                <w:b w:val="0"/>
                <w:color w:val="000000"/>
                <w:sz w:val="21"/>
              </w:rPr>
              <w:t>97 份施工记录；99 份监测记录</w:t>
            </w:r>
          </w:p>
        </w:tc>
        <w:tc>
          <w:tcPr>
            <w:tcW w:type="dxa" w:w="5400"/>
            <w:vAlign w:val="center"/>
            <w:tcMar>
              <w:top w:w="60" w:type="dxa"/>
              <w:bottom w:w="60" w:type="dxa"/>
              <w:left w:w="65" w:type="dxa"/>
              <w:right w:w="65" w:type="dxa"/>
            </w:tcMar>
          </w:tcPr>
          <w:p>
            <w:pPr>
              <w:spacing w:line="260" w:lineRule="exact" w:before="0" w:after="0"/>
              <w:ind w:firstLine="0"/>
              <w:jc w:val="left"/>
            </w:pPr>
            <w:r>
              <w:rPr>
                <w:rFonts w:ascii="Times New Roman" w:hAnsi="Times New Roman" w:eastAsia="SimSun"/>
                <w:b w:val="0"/>
                <w:color w:val="000000"/>
                <w:sz w:val="21"/>
              </w:rPr>
              <w:t>构建 291 个候选井对；经质量控制保留 229 个井对、78 个段。</w:t>
            </w:r>
          </w:p>
        </w:tc>
      </w:tr>
      <w:tr>
        <w:trPr>
          <w:cantSplit/>
        </w:trPr>
        <w:tc>
          <w:tcPr>
            <w:tcW w:type="dxa" w:w="1728"/>
            <w:vAlign w:val="center"/>
            <w:tcMar>
              <w:top w:w="60" w:type="dxa"/>
              <w:bottom w:w="60" w:type="dxa"/>
              <w:left w:w="65" w:type="dxa"/>
              <w:right w:w="65" w:type="dxa"/>
            </w:tcMar>
          </w:tcPr>
          <w:p>
            <w:pPr>
              <w:spacing w:line="260" w:lineRule="exact" w:before="0" w:after="0"/>
              <w:ind w:firstLine="0"/>
              <w:jc w:val="center"/>
            </w:pPr>
            <w:r>
              <w:rPr>
                <w:rFonts w:ascii="Times New Roman" w:hAnsi="Times New Roman" w:eastAsia="SimSun"/>
                <w:b w:val="0"/>
                <w:color w:val="000000"/>
                <w:sz w:val="21"/>
              </w:rPr>
              <w:t>测井与轨迹</w:t>
            </w:r>
          </w:p>
        </w:tc>
        <w:tc>
          <w:tcPr>
            <w:tcW w:type="dxa" w:w="2952"/>
            <w:vAlign w:val="center"/>
            <w:tcMar>
              <w:top w:w="60" w:type="dxa"/>
              <w:bottom w:w="60" w:type="dxa"/>
              <w:left w:w="65" w:type="dxa"/>
              <w:right w:w="65" w:type="dxa"/>
            </w:tcMar>
          </w:tcPr>
          <w:p>
            <w:pPr>
              <w:spacing w:line="260" w:lineRule="exact" w:before="0" w:after="0"/>
              <w:ind w:firstLine="0"/>
              <w:jc w:val="left"/>
            </w:pPr>
            <w:r>
              <w:rPr>
                <w:rFonts w:ascii="Times New Roman" w:hAnsi="Times New Roman" w:eastAsia="SimSun"/>
                <w:b w:val="0"/>
                <w:color w:val="000000"/>
                <w:sz w:val="21"/>
              </w:rPr>
              <w:t>4 井 LAS；953 个井斜点</w:t>
            </w:r>
          </w:p>
        </w:tc>
        <w:tc>
          <w:tcPr>
            <w:tcW w:type="dxa" w:w="5400"/>
            <w:vAlign w:val="center"/>
            <w:tcMar>
              <w:top w:w="60" w:type="dxa"/>
              <w:bottom w:w="60" w:type="dxa"/>
              <w:left w:w="65" w:type="dxa"/>
              <w:right w:w="65" w:type="dxa"/>
            </w:tcMar>
          </w:tcPr>
          <w:p>
            <w:pPr>
              <w:spacing w:line="260" w:lineRule="exact" w:before="0" w:after="0"/>
              <w:ind w:firstLine="0"/>
              <w:jc w:val="left"/>
            </w:pPr>
            <w:r>
              <w:rPr>
                <w:rFonts w:ascii="Times New Roman" w:hAnsi="Times New Roman" w:eastAsia="SimSun"/>
                <w:b w:val="0"/>
                <w:color w:val="000000"/>
                <w:sz w:val="21"/>
              </w:rPr>
              <w:t>15 类参数覆盖全部设计段；力学参数属于测井解释值，非独立岩心试验。</w:t>
            </w:r>
          </w:p>
        </w:tc>
      </w:tr>
      <w:tr>
        <w:trPr>
          <w:cantSplit/>
        </w:trPr>
        <w:tc>
          <w:tcPr>
            <w:tcW w:type="dxa" w:w="1728"/>
            <w:vAlign w:val="center"/>
            <w:tcMar>
              <w:top w:w="60" w:type="dxa"/>
              <w:bottom w:w="60" w:type="dxa"/>
              <w:left w:w="65" w:type="dxa"/>
              <w:right w:w="65" w:type="dxa"/>
            </w:tcMar>
          </w:tcPr>
          <w:p>
            <w:pPr>
              <w:spacing w:line="260" w:lineRule="exact" w:before="0" w:after="0"/>
              <w:ind w:firstLine="0"/>
              <w:jc w:val="center"/>
            </w:pPr>
            <w:r>
              <w:rPr>
                <w:rFonts w:ascii="Times New Roman" w:hAnsi="Times New Roman" w:eastAsia="SimSun"/>
                <w:b w:val="0"/>
                <w:color w:val="000000"/>
                <w:sz w:val="21"/>
              </w:rPr>
              <w:t>地震属性与层位</w:t>
            </w:r>
          </w:p>
        </w:tc>
        <w:tc>
          <w:tcPr>
            <w:tcW w:type="dxa" w:w="2952"/>
            <w:vAlign w:val="center"/>
            <w:tcMar>
              <w:top w:w="60" w:type="dxa"/>
              <w:bottom w:w="60" w:type="dxa"/>
              <w:left w:w="65" w:type="dxa"/>
              <w:right w:w="65" w:type="dxa"/>
            </w:tcMar>
          </w:tcPr>
          <w:p>
            <w:pPr>
              <w:spacing w:line="260" w:lineRule="exact" w:before="0" w:after="0"/>
              <w:ind w:firstLine="0"/>
              <w:jc w:val="left"/>
            </w:pPr>
            <w:r>
              <w:rPr>
                <w:rFonts w:ascii="Times New Roman" w:hAnsi="Times New Roman" w:eastAsia="SimSun"/>
                <w:b w:val="0"/>
                <w:color w:val="000000"/>
                <w:sz w:val="21"/>
              </w:rPr>
              <w:t>2 个 SGY 属性体；O3w 参考层位</w:t>
            </w:r>
          </w:p>
        </w:tc>
        <w:tc>
          <w:tcPr>
            <w:tcW w:type="dxa" w:w="5400"/>
            <w:vAlign w:val="center"/>
            <w:tcMar>
              <w:top w:w="60" w:type="dxa"/>
              <w:bottom w:w="60" w:type="dxa"/>
              <w:left w:w="65" w:type="dxa"/>
              <w:right w:w="65" w:type="dxa"/>
            </w:tcMar>
          </w:tcPr>
          <w:p>
            <w:pPr>
              <w:spacing w:line="260" w:lineRule="exact" w:before="0" w:after="0"/>
              <w:ind w:firstLine="0"/>
              <w:jc w:val="left"/>
            </w:pPr>
            <w:r>
              <w:rPr>
                <w:rFonts w:ascii="Times New Roman" w:hAnsi="Times New Roman" w:eastAsia="SimSun"/>
                <w:b w:val="0"/>
                <w:color w:val="000000"/>
                <w:sz w:val="21"/>
              </w:rPr>
              <w:t>578 个簇 XY 均落在覆盖内；仅提取参考界面空间代理，不当作射孔深度属性。</w:t>
            </w:r>
          </w:p>
        </w:tc>
      </w:tr>
      <w:tr>
        <w:trPr>
          <w:cantSplit/>
        </w:trPr>
        <w:tc>
          <w:tcPr>
            <w:tcW w:type="dxa" w:w="1728"/>
            <w:vAlign w:val="center"/>
            <w:tcMar>
              <w:top w:w="60" w:type="dxa"/>
              <w:bottom w:w="60" w:type="dxa"/>
              <w:left w:w="65" w:type="dxa"/>
              <w:right w:w="65" w:type="dxa"/>
            </w:tcMar>
          </w:tcPr>
          <w:p>
            <w:pPr>
              <w:spacing w:line="260" w:lineRule="exact" w:before="0" w:after="0"/>
              <w:ind w:firstLine="0"/>
              <w:jc w:val="center"/>
            </w:pPr>
            <w:r>
              <w:rPr>
                <w:rFonts w:ascii="Times New Roman" w:hAnsi="Times New Roman" w:eastAsia="SimSun"/>
                <w:b w:val="0"/>
                <w:color w:val="000000"/>
                <w:sz w:val="21"/>
              </w:rPr>
              <w:t>微地震目录</w:t>
            </w:r>
          </w:p>
        </w:tc>
        <w:tc>
          <w:tcPr>
            <w:tcW w:type="dxa" w:w="2952"/>
            <w:vAlign w:val="center"/>
            <w:tcMar>
              <w:top w:w="60" w:type="dxa"/>
              <w:bottom w:w="60" w:type="dxa"/>
              <w:left w:w="65" w:type="dxa"/>
              <w:right w:w="65" w:type="dxa"/>
            </w:tcMar>
          </w:tcPr>
          <w:p>
            <w:pPr>
              <w:spacing w:line="260" w:lineRule="exact" w:before="0" w:after="0"/>
              <w:ind w:firstLine="0"/>
              <w:jc w:val="left"/>
            </w:pPr>
            <w:r>
              <w:rPr>
                <w:rFonts w:ascii="Times New Roman" w:hAnsi="Times New Roman" w:eastAsia="SimSun"/>
                <w:b w:val="0"/>
                <w:color w:val="000000"/>
                <w:sz w:val="21"/>
              </w:rPr>
              <w:t>已有带时间和空间字段的事件目录</w:t>
            </w:r>
          </w:p>
        </w:tc>
        <w:tc>
          <w:tcPr>
            <w:tcW w:type="dxa" w:w="5400"/>
            <w:vAlign w:val="center"/>
            <w:tcMar>
              <w:top w:w="60" w:type="dxa"/>
              <w:bottom w:w="60" w:type="dxa"/>
              <w:left w:w="65" w:type="dxa"/>
              <w:right w:w="65" w:type="dxa"/>
            </w:tcMar>
          </w:tcPr>
          <w:p>
            <w:pPr>
              <w:spacing w:line="260" w:lineRule="exact" w:before="0" w:after="0"/>
              <w:ind w:firstLine="0"/>
              <w:jc w:val="left"/>
            </w:pPr>
            <w:r>
              <w:rPr>
                <w:rFonts w:ascii="Times New Roman" w:hAnsi="Times New Roman" w:eastAsia="SimSun"/>
                <w:b w:val="0"/>
                <w:color w:val="000000"/>
                <w:sz w:val="21"/>
              </w:rPr>
              <w:t>在同步施工段选择案例佐证；坐标与检出能力影响解释。</w:t>
            </w:r>
          </w:p>
        </w:tc>
      </w:tr>
      <w:tr>
        <w:trPr>
          <w:cantSplit/>
        </w:trPr>
        <w:tc>
          <w:tcPr>
            <w:tcW w:type="dxa" w:w="1728"/>
            <w:vAlign w:val="center"/>
            <w:tcMar>
              <w:top w:w="60" w:type="dxa"/>
              <w:bottom w:w="60" w:type="dxa"/>
              <w:left w:w="65" w:type="dxa"/>
              <w:right w:w="65" w:type="dxa"/>
            </w:tcMar>
          </w:tcPr>
          <w:p>
            <w:pPr>
              <w:spacing w:line="260" w:lineRule="exact" w:before="0" w:after="0"/>
              <w:ind w:firstLine="0"/>
              <w:jc w:val="center"/>
            </w:pPr>
            <w:r>
              <w:rPr>
                <w:rFonts w:ascii="Times New Roman" w:hAnsi="Times New Roman" w:eastAsia="SimSun"/>
                <w:b w:val="0"/>
                <w:color w:val="000000"/>
                <w:sz w:val="21"/>
              </w:rPr>
              <w:t>光纤解释图</w:t>
            </w:r>
          </w:p>
        </w:tc>
        <w:tc>
          <w:tcPr>
            <w:tcW w:type="dxa" w:w="2952"/>
            <w:vAlign w:val="center"/>
            <w:tcMar>
              <w:top w:w="60" w:type="dxa"/>
              <w:bottom w:w="60" w:type="dxa"/>
              <w:left w:w="65" w:type="dxa"/>
              <w:right w:w="65" w:type="dxa"/>
            </w:tcMar>
          </w:tcPr>
          <w:p>
            <w:pPr>
              <w:spacing w:line="260" w:lineRule="exact" w:before="0" w:after="0"/>
              <w:ind w:firstLine="0"/>
              <w:jc w:val="left"/>
            </w:pPr>
            <w:r>
              <w:rPr>
                <w:rFonts w:ascii="Times New Roman" w:hAnsi="Times New Roman" w:eastAsia="SimSun"/>
                <w:b w:val="0"/>
                <w:color w:val="000000"/>
                <w:sz w:val="21"/>
              </w:rPr>
              <w:t>前期说明有 2 井应变解释图</w:t>
            </w:r>
          </w:p>
        </w:tc>
        <w:tc>
          <w:tcPr>
            <w:tcW w:type="dxa" w:w="5400"/>
            <w:vAlign w:val="center"/>
            <w:tcMar>
              <w:top w:w="60" w:type="dxa"/>
              <w:bottom w:w="60" w:type="dxa"/>
              <w:left w:w="65" w:type="dxa"/>
              <w:right w:w="65" w:type="dxa"/>
            </w:tcMar>
          </w:tcPr>
          <w:p>
            <w:pPr>
              <w:spacing w:line="260" w:lineRule="exact" w:before="0" w:after="0"/>
              <w:ind w:firstLine="0"/>
              <w:jc w:val="left"/>
            </w:pPr>
            <w:r>
              <w:rPr>
                <w:rFonts w:ascii="Times New Roman" w:hAnsi="Times New Roman" w:eastAsia="SimSun"/>
                <w:b w:val="0"/>
                <w:color w:val="000000"/>
                <w:sz w:val="21"/>
              </w:rPr>
              <w:t>完整时空映射与原始数据尚待补齐；本轮不据此声称联合反演完成。</w:t>
            </w:r>
          </w:p>
        </w:tc>
      </w:tr>
    </w:tbl>
    <w:p>
      <w:pPr>
        <w:spacing w:after="0"/>
      </w:pPr>
    </w:p>
    <w:p>
      <w:pPr>
        <w:pStyle w:val="Heading2"/>
      </w:pPr>
      <w:r>
        <w:rPr>
          <w:rFonts w:ascii="Times New Roman" w:hAnsi="Times New Roman" w:eastAsia="SimSun"/>
          <w:b/>
          <w:color w:val="000000"/>
          <w:sz w:val="24"/>
        </w:rPr>
        <w:t>三组压前特征及其检验目的</w:t>
      </w:r>
    </w:p>
    <w:p>
      <w:pPr>
        <w:spacing w:line="360" w:lineRule="exact" w:after="60"/>
        <w:ind w:firstLine="480"/>
        <w:jc w:val="both"/>
      </w:pPr>
      <w:r>
        <w:rPr>
          <w:rFonts w:ascii="Times New Roman" w:hAnsi="Times New Roman" w:eastAsia="SimSun"/>
          <w:color w:val="000000"/>
          <w:sz w:val="24"/>
        </w:rPr>
        <w:t>基础组含段至邻井的最小三维距离、相应垂向间距、段长、簇数及压前压力中位数和趋势；力学扩展组增加杨氏模量、泊松比、最小水平主应力与水平应力差；地震扩展组再加入最大曲率 P90 与 MCANT 均值。逐组比较用于检验增量价值，不预设加入更多数据必然提高预测性能。</w:t>
      </w:r>
    </w:p>
    <w:p>
      <w:pPr>
        <w:pStyle w:val="Heading2"/>
      </w:pPr>
      <w:r>
        <w:rPr>
          <w:rFonts w:ascii="Times New Roman" w:hAnsi="Times New Roman" w:eastAsia="SimSun"/>
          <w:b/>
          <w:color w:val="000000"/>
          <w:sz w:val="24"/>
        </w:rPr>
        <w:t>空间与解释限制必须伴随结果报告</w:t>
      </w:r>
    </w:p>
    <w:p>
      <w:pPr>
        <w:spacing w:line="360" w:lineRule="exact" w:after="60"/>
        <w:ind w:firstLine="480"/>
        <w:jc w:val="both"/>
      </w:pPr>
      <w:r>
        <w:rPr>
          <w:rFonts w:ascii="Times New Roman" w:hAnsi="Times New Roman" w:eastAsia="SimSun"/>
          <w:color w:val="000000"/>
          <w:sz w:val="24"/>
        </w:rPr>
        <w:t>SGY 文件名为 LU205H5，工程资料为 L201H5。井口及簇位置的平面吻合支持关联，但仍需生产方确认文件归属和投影。SGY/层位标注 ms，测井与井轨迹为米制深度；在获得适用的井震标定前，不做数值同值匹配。</w:t>
      </w:r>
    </w:p>
    <w:p>
      <w:pPr>
        <w:spacing w:line="360" w:lineRule="exact" w:after="60"/>
        <w:ind w:firstLine="480"/>
        <w:jc w:val="both"/>
      </w:pPr>
      <w:r>
        <w:rPr>
          <w:rFonts w:ascii="Times New Roman" w:hAnsi="Times New Roman" w:eastAsia="SimSun"/>
          <w:color w:val="000000"/>
          <w:sz w:val="24"/>
        </w:rPr>
        <w:t>H5-1 井斜方位与 LAS 偏移存在约 2.640° 差异，簇坐标差约 51–106 m，已设置替代坐标敏感性。MCANT 的算法、单位及 −1 编码含义未确认，保留原值，不命名为天然裂缝密度。H5-2 层表中破裂压力与最大主应力重复，主特征采用经核查的 LAS 解释曲线。</w:t>
      </w:r>
    </w:p>
    <w:p>
      <w:r>
        <w:br w:type="page"/>
      </w:r>
    </w:p>
    <w:p>
      <w:pPr>
        <w:pStyle w:val="Heading1"/>
      </w:pPr>
      <w:r>
        <w:rPr>
          <w:rFonts w:ascii="Times New Roman" w:hAnsi="Times New Roman" w:eastAsia="SimSun"/>
          <w:b/>
          <w:color w:val="000000"/>
          <w:sz w:val="30"/>
        </w:rPr>
        <w:t>样本构建与实验规程</w:t>
      </w:r>
    </w:p>
    <w:p>
      <w:pPr>
        <w:pStyle w:val="Heading2"/>
      </w:pPr>
      <w:r>
        <w:rPr>
          <w:rFonts w:ascii="Times New Roman" w:hAnsi="Times New Roman" w:eastAsia="SimSun"/>
          <w:b/>
          <w:color w:val="000000"/>
          <w:sz w:val="24"/>
        </w:rPr>
        <w:t>时间对齐与样本单位</w:t>
      </w:r>
    </w:p>
    <w:p>
      <w:pPr>
        <w:spacing w:line="360" w:lineRule="exact" w:after="60"/>
        <w:ind w:firstLine="480"/>
        <w:jc w:val="both"/>
      </w:pPr>
      <w:r>
        <w:rPr>
          <w:rFonts w:ascii="Times New Roman" w:hAnsi="Times New Roman" w:eastAsia="SimSun"/>
          <w:color w:val="000000"/>
          <w:sz w:val="24"/>
        </w:rPr>
        <w:t>将施工时间和邻井监测时间统一为可比较的时间戳，以施工段泵注包络确定观察窗，按 5 s 分箱。每个施工段与每口邻井构成一个候选样本。同段多个邻井共享施工条件，训练测试划分、重采样及结果报告均保留段分组。</w:t>
      </w:r>
    </w:p>
    <w:p>
      <w:pPr>
        <w:pStyle w:val="Heading2"/>
      </w:pPr>
      <w:r>
        <w:rPr>
          <w:rFonts w:ascii="Times New Roman" w:hAnsi="Times New Roman" w:eastAsia="SimSun"/>
          <w:b/>
          <w:color w:val="000000"/>
          <w:sz w:val="24"/>
        </w:rPr>
        <w:t>质量控制与压力处理</w:t>
      </w:r>
    </w:p>
    <w:p>
      <w:pPr>
        <w:spacing w:line="360" w:lineRule="exact" w:after="60"/>
        <w:ind w:firstLine="480"/>
        <w:jc w:val="both"/>
      </w:pPr>
      <w:r>
        <w:rPr>
          <w:rFonts w:ascii="Times New Roman" w:hAnsi="Times New Roman" w:eastAsia="SimSun"/>
          <w:color w:val="000000"/>
          <w:sz w:val="24"/>
        </w:rPr>
        <w:t>基线窗取施工前 −300 至 −30 s，至少具有 180 s 有效数据，压前绝对斜率不超过 0.1 MPa/min。施工与压力覆盖率均不低于 95%；施工最大缺口不超过 300 s，压力最大缺口不超过 30 s；施工包络不超过 8 h且持续至少 20 min。其他井重叠泵注超过 60 s 的样本剔除。</w:t>
      </w:r>
    </w:p>
    <w:p>
      <w:pPr>
        <w:spacing w:line="360" w:lineRule="exact" w:after="60"/>
        <w:ind w:firstLine="480"/>
        <w:jc w:val="both"/>
      </w:pPr>
      <w:r>
        <w:rPr>
          <w:rFonts w:ascii="Times New Roman" w:hAnsi="Times New Roman" w:eastAsia="SimSun"/>
          <w:color w:val="000000"/>
          <w:sz w:val="24"/>
        </w:rPr>
        <w:t>事后压力序列使用 5 s 中位数、孤立 Hampel 异常处理和 7 分箱二次 Savitzky–Golay 平滑，并限制到局部 Hampel 序列的最小值和最大值之间。保留原始曲线及处理曲线供核查；2 个原始大阶跃样本保留异常标记，并作排除敏感性。</w:t>
      </w:r>
    </w:p>
    <w:p>
      <w:pPr>
        <w:pStyle w:val="Heading2"/>
      </w:pPr>
      <w:r>
        <w:rPr>
          <w:rFonts w:ascii="Times New Roman" w:hAnsi="Times New Roman" w:eastAsia="SimSun"/>
          <w:b/>
          <w:color w:val="000000"/>
          <w:sz w:val="24"/>
        </w:rPr>
        <w:t>结果标签与响应特征</w:t>
      </w:r>
    </w:p>
    <w:p>
      <w:pPr>
        <w:spacing w:line="360" w:lineRule="exact" w:after="60"/>
        <w:ind w:firstLine="480"/>
        <w:jc w:val="both"/>
      </w:pPr>
      <w:r>
        <w:rPr>
          <w:rFonts w:ascii="Times New Roman" w:hAnsi="Times New Roman" w:eastAsia="SimSun"/>
          <w:color w:val="000000"/>
          <w:sz w:val="24"/>
        </w:rPr>
        <w:t>主标签定义为：在泵注包络内，邻井压力相对压前中位数上升至少 1 MPa，并持续至少 60 s。另以 2 MPa、5 MPa 为标签敏感性，当前分别有 22、13 个阳性。该标签表示持续压力越限，不等同于已证实的水力连通、支撑剂到达或生产损害。</w:t>
      </w:r>
    </w:p>
    <w:p>
      <w:pPr>
        <w:spacing w:line="360" w:lineRule="exact" w:after="60"/>
        <w:ind w:firstLine="480"/>
        <w:jc w:val="both"/>
      </w:pPr>
      <w:r>
        <w:rPr>
          <w:rFonts w:ascii="Times New Roman" w:hAnsi="Times New Roman" w:eastAsia="SimSun"/>
          <w:color w:val="000000"/>
          <w:sz w:val="24"/>
        </w:rPr>
        <w:t>完整响应的峰值、正负扰动、起涨相对时间、末期保持程度与正响应占比用于 Ward 聚类，比较 K=2–6，并同时报告轮廓系数、簇规模及重采样稳定性。起涨条件未达到时保留其状态，避免把无响应强行解释成晚到响应。</w:t>
      </w:r>
    </w:p>
    <w:p>
      <w:pPr>
        <w:pStyle w:val="Heading2"/>
      </w:pPr>
      <w:r>
        <w:rPr>
          <w:rFonts w:ascii="Times New Roman" w:hAnsi="Times New Roman" w:eastAsia="SimSun"/>
          <w:b/>
          <w:color w:val="000000"/>
          <w:sz w:val="24"/>
        </w:rPr>
        <w:t>预测验证与探索性修订记录</w:t>
      </w:r>
    </w:p>
    <w:p>
      <w:pPr>
        <w:spacing w:line="360" w:lineRule="exact" w:after="60"/>
        <w:ind w:firstLine="480"/>
        <w:jc w:val="both"/>
      </w:pPr>
      <w:r>
        <w:rPr>
          <w:rFonts w:ascii="Times New Roman" w:hAnsi="Times New Roman" w:eastAsia="SimSun"/>
          <w:color w:val="000000"/>
          <w:sz w:val="24"/>
        </w:rPr>
        <w:t>采用逻辑回归、随机森林和梯度提升树，固定超参数及 0.5 概率阈值；缺失填补和逻辑回归标准化仅在训练折拟合。主要验证为留一施工井，时间后 25% 的施工段作为补充检验；后者未设置时间隔离带，不能视为前瞻试验。</w:t>
      </w:r>
    </w:p>
    <w:p>
      <w:pPr>
        <w:spacing w:line="360" w:lineRule="exact" w:after="60"/>
        <w:ind w:firstLine="480"/>
        <w:jc w:val="both"/>
      </w:pPr>
      <w:r>
        <w:rPr>
          <w:rFonts w:ascii="Times New Roman" w:hAnsi="Times New Roman" w:eastAsia="SimSun"/>
          <w:color w:val="000000"/>
          <w:sz w:val="24"/>
        </w:rPr>
        <w:t>模型方案固定不等于全流程预注册。本轮基线稳定性门槛及平滑范围限制是在检查异常后增加的探索性修订，应保留修订记录和原队列对照。报告按施工段重采样得到的置信区间，并说明其来自已拟合的折外预测，未覆盖完整重新训练和所有井间依赖。</w:t>
      </w:r>
    </w:p>
    <w:p>
      <w:r>
        <w:br w:type="page"/>
      </w:r>
    </w:p>
    <w:p>
      <w:pPr>
        <w:pStyle w:val="Heading1"/>
      </w:pPr>
      <w:r>
        <w:rPr>
          <w:rFonts w:ascii="Times New Roman" w:hAnsi="Times New Roman" w:eastAsia="SimSun"/>
          <w:b/>
          <w:color w:val="000000"/>
          <w:sz w:val="30"/>
        </w:rPr>
        <w:t>IGS 全文逐节写作框架</w:t>
      </w:r>
    </w:p>
    <w:p>
      <w:pPr>
        <w:spacing w:line="360" w:lineRule="exact" w:after="60"/>
        <w:ind w:firstLine="480"/>
        <w:jc w:val="both"/>
      </w:pPr>
      <w:r>
        <w:rPr>
          <w:rFonts w:ascii="Times New Roman" w:hAnsi="Times New Roman" w:eastAsia="SimSun"/>
          <w:color w:val="000000"/>
          <w:sz w:val="24"/>
        </w:rPr>
        <w:t>全文围绕“可观察压力响应—可用压前信息—可解释预测及其限制”组织。建议以 6 页含参考文献为排版目标；图表和真实证据不足以支撑的机理推断不通过扩写补足。正式摘要待结果核对后压缩为 150–200 词单段。</w:t>
      </w:r>
    </w:p>
    <w:p>
      <w:pPr>
        <w:spacing w:line="260" w:lineRule="exact" w:after="80"/>
        <w:ind w:firstLine="0"/>
        <w:jc w:val="center"/>
      </w:pPr>
      <w:r>
        <w:rPr>
          <w:rFonts w:ascii="Times New Roman" w:hAnsi="Times New Roman" w:eastAsia="SimSun"/>
          <w:color w:val="000000"/>
          <w:sz w:val="21"/>
        </w:rPr>
        <w:t>表 2 正文章节与必须回答的问题</w:t>
      </w:r>
    </w:p>
    <w:tbl>
      <w:tblPr>
        <w:tblW w:type="auto" w:w="0"/>
        <w:jc w:val="center"/>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2304"/>
        <w:gridCol w:w="4464"/>
        <w:gridCol w:w="3312"/>
      </w:tblGrid>
      <w:tr>
        <w:trPr>
          <w:tblHeader/>
          <w:cantSplit/>
        </w:trPr>
        <w:tc>
          <w:tcPr>
            <w:tcW w:type="dxa" w:w="2304"/>
            <w:vAlign w:val="center"/>
            <w:tcMar>
              <w:top w:w="60" w:type="dxa"/>
              <w:bottom w:w="60" w:type="dxa"/>
              <w:left w:w="65" w:type="dxa"/>
              <w:right w:w="65" w:type="dxa"/>
            </w:tcMar>
            <w:tcBorders>
              <w:bottom w:val="single" w:sz="6" w:color="000000"/>
            </w:tcBorders>
          </w:tcPr>
          <w:p>
            <w:pPr>
              <w:spacing w:line="260" w:lineRule="exact" w:before="0" w:after="0"/>
              <w:ind w:firstLine="0"/>
              <w:jc w:val="center"/>
            </w:pPr>
            <w:r>
              <w:rPr>
                <w:rFonts w:ascii="Times New Roman" w:hAnsi="Times New Roman" w:eastAsia="SimSun"/>
                <w:b/>
                <w:color w:val="000000"/>
                <w:sz w:val="21"/>
              </w:rPr>
              <w:t>章节</w:t>
            </w:r>
          </w:p>
        </w:tc>
        <w:tc>
          <w:tcPr>
            <w:tcW w:type="dxa" w:w="4464"/>
            <w:vAlign w:val="center"/>
            <w:tcMar>
              <w:top w:w="60" w:type="dxa"/>
              <w:bottom w:w="60" w:type="dxa"/>
              <w:left w:w="65" w:type="dxa"/>
              <w:right w:w="65" w:type="dxa"/>
            </w:tcMar>
            <w:tcBorders>
              <w:bottom w:val="single" w:sz="6" w:color="000000"/>
            </w:tcBorders>
          </w:tcPr>
          <w:p>
            <w:pPr>
              <w:spacing w:line="260" w:lineRule="exact" w:before="0" w:after="0"/>
              <w:ind w:firstLine="0"/>
              <w:jc w:val="center"/>
            </w:pPr>
            <w:r>
              <w:rPr>
                <w:rFonts w:ascii="Times New Roman" w:hAnsi="Times New Roman" w:eastAsia="SimSun"/>
                <w:b/>
                <w:color w:val="000000"/>
                <w:sz w:val="21"/>
              </w:rPr>
              <w:t>核心内容</w:t>
            </w:r>
          </w:p>
        </w:tc>
        <w:tc>
          <w:tcPr>
            <w:tcW w:type="dxa" w:w="3312"/>
            <w:vAlign w:val="center"/>
            <w:tcMar>
              <w:top w:w="60" w:type="dxa"/>
              <w:bottom w:w="60" w:type="dxa"/>
              <w:left w:w="65" w:type="dxa"/>
              <w:right w:w="65" w:type="dxa"/>
            </w:tcMar>
            <w:tcBorders>
              <w:bottom w:val="single" w:sz="6" w:color="000000"/>
            </w:tcBorders>
          </w:tcPr>
          <w:p>
            <w:pPr>
              <w:spacing w:line="260" w:lineRule="exact" w:before="0" w:after="0"/>
              <w:ind w:firstLine="0"/>
              <w:jc w:val="center"/>
            </w:pPr>
            <w:r>
              <w:rPr>
                <w:rFonts w:ascii="Times New Roman" w:hAnsi="Times New Roman" w:eastAsia="SimSun"/>
                <w:b/>
                <w:color w:val="000000"/>
                <w:sz w:val="21"/>
              </w:rPr>
              <w:t>对应证据</w:t>
            </w:r>
          </w:p>
        </w:tc>
      </w:tr>
      <w:tr>
        <w:trPr>
          <w:cantSplit/>
        </w:trPr>
        <w:tc>
          <w:tcPr>
            <w:tcW w:type="dxa" w:w="2304"/>
            <w:vAlign w:val="center"/>
            <w:tcMar>
              <w:top w:w="60" w:type="dxa"/>
              <w:bottom w:w="60" w:type="dxa"/>
              <w:left w:w="65" w:type="dxa"/>
              <w:right w:w="65" w:type="dxa"/>
            </w:tcMar>
          </w:tcPr>
          <w:p>
            <w:pPr>
              <w:spacing w:line="260" w:lineRule="exact" w:before="0" w:after="0"/>
              <w:ind w:firstLine="0"/>
              <w:jc w:val="center"/>
            </w:pPr>
            <w:r>
              <w:rPr>
                <w:rFonts w:ascii="Times New Roman" w:hAnsi="Times New Roman" w:eastAsia="SimSun"/>
                <w:b w:val="0"/>
                <w:color w:val="000000"/>
                <w:sz w:val="21"/>
              </w:rPr>
              <w:t>1 Introduction</w:t>
            </w:r>
          </w:p>
        </w:tc>
        <w:tc>
          <w:tcPr>
            <w:tcW w:type="dxa" w:w="4464"/>
            <w:vAlign w:val="center"/>
            <w:tcMar>
              <w:top w:w="60" w:type="dxa"/>
              <w:bottom w:w="60" w:type="dxa"/>
              <w:left w:w="65" w:type="dxa"/>
              <w:right w:w="65" w:type="dxa"/>
            </w:tcMar>
          </w:tcPr>
          <w:p>
            <w:pPr>
              <w:spacing w:line="260" w:lineRule="exact" w:before="0" w:after="0"/>
              <w:ind w:firstLine="0"/>
              <w:jc w:val="left"/>
            </w:pPr>
            <w:r>
              <w:rPr>
                <w:rFonts w:ascii="Times New Roman" w:hAnsi="Times New Roman" w:eastAsia="SimSun"/>
                <w:b w:val="0"/>
                <w:color w:val="000000"/>
                <w:sz w:val="21"/>
              </w:rPr>
              <w:t>深层页岩气多井压裂的压力干扰问题；单阈值的局限；为什么需要区分形态识别与压前预测。</w:t>
            </w:r>
          </w:p>
        </w:tc>
        <w:tc>
          <w:tcPr>
            <w:tcW w:type="dxa" w:w="3312"/>
            <w:vAlign w:val="center"/>
            <w:tcMar>
              <w:top w:w="60" w:type="dxa"/>
              <w:bottom w:w="60" w:type="dxa"/>
              <w:left w:w="65" w:type="dxa"/>
              <w:right w:w="65" w:type="dxa"/>
            </w:tcMar>
          </w:tcPr>
          <w:p>
            <w:pPr>
              <w:spacing w:line="260" w:lineRule="exact" w:before="0" w:after="0"/>
              <w:ind w:firstLine="0"/>
              <w:jc w:val="left"/>
            </w:pPr>
            <w:r>
              <w:rPr>
                <w:rFonts w:ascii="Times New Roman" w:hAnsi="Times New Roman" w:eastAsia="SimSun"/>
                <w:b w:val="0"/>
                <w:color w:val="000000"/>
                <w:sz w:val="21"/>
              </w:rPr>
              <w:t>相关 IGS、SPE 及压力干扰研究；明确研究缺口。</w:t>
            </w:r>
          </w:p>
        </w:tc>
      </w:tr>
      <w:tr>
        <w:trPr>
          <w:cantSplit/>
        </w:trPr>
        <w:tc>
          <w:tcPr>
            <w:tcW w:type="dxa" w:w="2304"/>
            <w:vAlign w:val="center"/>
            <w:tcMar>
              <w:top w:w="60" w:type="dxa"/>
              <w:bottom w:w="60" w:type="dxa"/>
              <w:left w:w="65" w:type="dxa"/>
              <w:right w:w="65" w:type="dxa"/>
            </w:tcMar>
          </w:tcPr>
          <w:p>
            <w:pPr>
              <w:spacing w:line="260" w:lineRule="exact" w:before="0" w:after="0"/>
              <w:ind w:firstLine="0"/>
              <w:jc w:val="center"/>
            </w:pPr>
            <w:r>
              <w:rPr>
                <w:rFonts w:ascii="Times New Roman" w:hAnsi="Times New Roman" w:eastAsia="SimSun"/>
                <w:b w:val="0"/>
                <w:color w:val="000000"/>
                <w:sz w:val="21"/>
              </w:rPr>
              <w:t>2 Field Data and Geomechanical Context</w:t>
            </w:r>
          </w:p>
        </w:tc>
        <w:tc>
          <w:tcPr>
            <w:tcW w:type="dxa" w:w="4464"/>
            <w:vAlign w:val="center"/>
            <w:tcMar>
              <w:top w:w="60" w:type="dxa"/>
              <w:bottom w:w="60" w:type="dxa"/>
              <w:left w:w="65" w:type="dxa"/>
              <w:right w:w="65" w:type="dxa"/>
            </w:tcMar>
          </w:tcPr>
          <w:p>
            <w:pPr>
              <w:spacing w:line="260" w:lineRule="exact" w:before="0" w:after="0"/>
              <w:ind w:firstLine="0"/>
              <w:jc w:val="left"/>
            </w:pPr>
            <w:r>
              <w:rPr>
                <w:rFonts w:ascii="Times New Roman" w:hAnsi="Times New Roman" w:eastAsia="SimSun"/>
                <w:b w:val="0"/>
                <w:color w:val="000000"/>
                <w:sz w:val="21"/>
              </w:rPr>
              <w:t>平台、施工、邻井压力、测井及空间资料；设计段与有效样本差别；地震属性的参考层位限制。</w:t>
            </w:r>
          </w:p>
        </w:tc>
        <w:tc>
          <w:tcPr>
            <w:tcW w:type="dxa" w:w="3312"/>
            <w:vAlign w:val="center"/>
            <w:tcMar>
              <w:top w:w="60" w:type="dxa"/>
              <w:bottom w:w="60" w:type="dxa"/>
              <w:left w:w="65" w:type="dxa"/>
              <w:right w:w="65" w:type="dxa"/>
            </w:tcMar>
          </w:tcPr>
          <w:p>
            <w:pPr>
              <w:spacing w:line="260" w:lineRule="exact" w:before="0" w:after="0"/>
              <w:ind w:firstLine="0"/>
              <w:jc w:val="left"/>
            </w:pPr>
            <w:r>
              <w:rPr>
                <w:rFonts w:ascii="Times New Roman" w:hAnsi="Times New Roman" w:eastAsia="SimSun"/>
                <w:b w:val="0"/>
                <w:color w:val="000000"/>
                <w:sz w:val="21"/>
              </w:rPr>
              <w:t>平台几何图、样本流转表、数据字典。</w:t>
            </w:r>
          </w:p>
        </w:tc>
      </w:tr>
      <w:tr>
        <w:trPr>
          <w:cantSplit/>
        </w:trPr>
        <w:tc>
          <w:tcPr>
            <w:tcW w:type="dxa" w:w="2304"/>
            <w:vAlign w:val="center"/>
            <w:tcMar>
              <w:top w:w="60" w:type="dxa"/>
              <w:bottom w:w="60" w:type="dxa"/>
              <w:left w:w="65" w:type="dxa"/>
              <w:right w:w="65" w:type="dxa"/>
            </w:tcMar>
          </w:tcPr>
          <w:p>
            <w:pPr>
              <w:spacing w:line="260" w:lineRule="exact" w:before="0" w:after="0"/>
              <w:ind w:firstLine="0"/>
              <w:jc w:val="center"/>
            </w:pPr>
            <w:r>
              <w:rPr>
                <w:rFonts w:ascii="Times New Roman" w:hAnsi="Times New Roman" w:eastAsia="SimSun"/>
                <w:b w:val="0"/>
                <w:color w:val="000000"/>
                <w:sz w:val="21"/>
              </w:rPr>
              <w:t>3 Methods</w:t>
            </w:r>
          </w:p>
        </w:tc>
        <w:tc>
          <w:tcPr>
            <w:tcW w:type="dxa" w:w="4464"/>
            <w:vAlign w:val="center"/>
            <w:tcMar>
              <w:top w:w="60" w:type="dxa"/>
              <w:bottom w:w="60" w:type="dxa"/>
              <w:left w:w="65" w:type="dxa"/>
              <w:right w:w="65" w:type="dxa"/>
            </w:tcMar>
          </w:tcPr>
          <w:p>
            <w:pPr>
              <w:spacing w:line="260" w:lineRule="exact" w:before="0" w:after="0"/>
              <w:ind w:firstLine="0"/>
              <w:jc w:val="left"/>
            </w:pPr>
            <w:r>
              <w:rPr>
                <w:rFonts w:ascii="Times New Roman" w:hAnsi="Times New Roman" w:eastAsia="SimSun"/>
                <w:b w:val="0"/>
                <w:color w:val="000000"/>
                <w:sz w:val="21"/>
              </w:rPr>
              <w:t>时段对齐、质量控制、越限标签、响应特征、Ward 聚类、分组建模、特征消融与归因。</w:t>
            </w:r>
          </w:p>
        </w:tc>
        <w:tc>
          <w:tcPr>
            <w:tcW w:type="dxa" w:w="3312"/>
            <w:vAlign w:val="center"/>
            <w:tcMar>
              <w:top w:w="60" w:type="dxa"/>
              <w:bottom w:w="60" w:type="dxa"/>
              <w:left w:w="65" w:type="dxa"/>
              <w:right w:w="65" w:type="dxa"/>
            </w:tcMar>
          </w:tcPr>
          <w:p>
            <w:pPr>
              <w:spacing w:line="260" w:lineRule="exact" w:before="0" w:after="0"/>
              <w:ind w:firstLine="0"/>
              <w:jc w:val="left"/>
            </w:pPr>
            <w:r>
              <w:rPr>
                <w:rFonts w:ascii="Times New Roman" w:hAnsi="Times New Roman" w:eastAsia="SimSun"/>
                <w:b w:val="0"/>
                <w:color w:val="000000"/>
                <w:sz w:val="21"/>
              </w:rPr>
              <w:t>时间窗定义、固定模型参数、训练测试示意。</w:t>
            </w:r>
          </w:p>
        </w:tc>
      </w:tr>
      <w:tr>
        <w:trPr>
          <w:cantSplit/>
        </w:trPr>
        <w:tc>
          <w:tcPr>
            <w:tcW w:type="dxa" w:w="2304"/>
            <w:vAlign w:val="center"/>
            <w:tcMar>
              <w:top w:w="60" w:type="dxa"/>
              <w:bottom w:w="60" w:type="dxa"/>
              <w:left w:w="65" w:type="dxa"/>
              <w:right w:w="65" w:type="dxa"/>
            </w:tcMar>
          </w:tcPr>
          <w:p>
            <w:pPr>
              <w:spacing w:line="260" w:lineRule="exact" w:before="0" w:after="0"/>
              <w:ind w:firstLine="0"/>
              <w:jc w:val="center"/>
            </w:pPr>
            <w:r>
              <w:rPr>
                <w:rFonts w:ascii="Times New Roman" w:hAnsi="Times New Roman" w:eastAsia="SimSun"/>
                <w:b w:val="0"/>
                <w:color w:val="000000"/>
                <w:sz w:val="21"/>
              </w:rPr>
              <w:t>4 Results</w:t>
            </w:r>
          </w:p>
        </w:tc>
        <w:tc>
          <w:tcPr>
            <w:tcW w:type="dxa" w:w="4464"/>
            <w:vAlign w:val="center"/>
            <w:tcMar>
              <w:top w:w="60" w:type="dxa"/>
              <w:bottom w:w="60" w:type="dxa"/>
              <w:left w:w="65" w:type="dxa"/>
              <w:right w:w="65" w:type="dxa"/>
            </w:tcMar>
          </w:tcPr>
          <w:p>
            <w:pPr>
              <w:spacing w:line="260" w:lineRule="exact" w:before="0" w:after="0"/>
              <w:ind w:firstLine="0"/>
              <w:jc w:val="left"/>
            </w:pPr>
            <w:r>
              <w:rPr>
                <w:rFonts w:ascii="Times New Roman" w:hAnsi="Times New Roman" w:eastAsia="SimSun"/>
                <w:b w:val="0"/>
                <w:color w:val="000000"/>
                <w:sz w:val="21"/>
              </w:rPr>
              <w:t>队列与事件分布；K 比较和代表曲线；预测性能、增量消融和必要的异常/坐标敏感性。</w:t>
            </w:r>
          </w:p>
        </w:tc>
        <w:tc>
          <w:tcPr>
            <w:tcW w:type="dxa" w:w="3312"/>
            <w:vAlign w:val="center"/>
            <w:tcMar>
              <w:top w:w="60" w:type="dxa"/>
              <w:bottom w:w="60" w:type="dxa"/>
              <w:left w:w="65" w:type="dxa"/>
              <w:right w:w="65" w:type="dxa"/>
            </w:tcMar>
          </w:tcPr>
          <w:p>
            <w:pPr>
              <w:spacing w:line="260" w:lineRule="exact" w:before="0" w:after="0"/>
              <w:ind w:firstLine="0"/>
              <w:jc w:val="left"/>
            </w:pPr>
            <w:r>
              <w:rPr>
                <w:rFonts w:ascii="Times New Roman" w:hAnsi="Times New Roman" w:eastAsia="SimSun"/>
                <w:b w:val="0"/>
                <w:color w:val="000000"/>
                <w:sz w:val="21"/>
              </w:rPr>
              <w:t>真实曲线、簇统计、折外预测和置信区间。</w:t>
            </w:r>
          </w:p>
        </w:tc>
      </w:tr>
      <w:tr>
        <w:trPr>
          <w:cantSplit/>
        </w:trPr>
        <w:tc>
          <w:tcPr>
            <w:tcW w:type="dxa" w:w="2304"/>
            <w:vAlign w:val="center"/>
            <w:tcMar>
              <w:top w:w="60" w:type="dxa"/>
              <w:bottom w:w="60" w:type="dxa"/>
              <w:left w:w="65" w:type="dxa"/>
              <w:right w:w="65" w:type="dxa"/>
            </w:tcMar>
          </w:tcPr>
          <w:p>
            <w:pPr>
              <w:spacing w:line="260" w:lineRule="exact" w:before="0" w:after="0"/>
              <w:ind w:firstLine="0"/>
              <w:jc w:val="center"/>
            </w:pPr>
            <w:r>
              <w:rPr>
                <w:rFonts w:ascii="Times New Roman" w:hAnsi="Times New Roman" w:eastAsia="SimSun"/>
                <w:b w:val="0"/>
                <w:color w:val="000000"/>
                <w:sz w:val="21"/>
              </w:rPr>
              <w:t>5 Discussion</w:t>
            </w:r>
          </w:p>
        </w:tc>
        <w:tc>
          <w:tcPr>
            <w:tcW w:type="dxa" w:w="4464"/>
            <w:vAlign w:val="center"/>
            <w:tcMar>
              <w:top w:w="60" w:type="dxa"/>
              <w:bottom w:w="60" w:type="dxa"/>
              <w:left w:w="65" w:type="dxa"/>
              <w:right w:w="65" w:type="dxa"/>
            </w:tcMar>
          </w:tcPr>
          <w:p>
            <w:pPr>
              <w:spacing w:line="260" w:lineRule="exact" w:before="0" w:after="0"/>
              <w:ind w:firstLine="0"/>
              <w:jc w:val="left"/>
            </w:pPr>
            <w:r>
              <w:rPr>
                <w:rFonts w:ascii="Times New Roman" w:hAnsi="Times New Roman" w:eastAsia="SimSun"/>
                <w:b w:val="0"/>
                <w:color w:val="000000"/>
                <w:sz w:val="21"/>
              </w:rPr>
              <w:t>解释稳定形态与小簇/阶跃差异；地质力学可能作用；微地震案例一致性；数据关联与泛化边界。</w:t>
            </w:r>
          </w:p>
        </w:tc>
        <w:tc>
          <w:tcPr>
            <w:tcW w:type="dxa" w:w="3312"/>
            <w:vAlign w:val="center"/>
            <w:tcMar>
              <w:top w:w="60" w:type="dxa"/>
              <w:bottom w:w="60" w:type="dxa"/>
              <w:left w:w="65" w:type="dxa"/>
              <w:right w:w="65" w:type="dxa"/>
            </w:tcMar>
          </w:tcPr>
          <w:p>
            <w:pPr>
              <w:spacing w:line="260" w:lineRule="exact" w:before="0" w:after="0"/>
              <w:ind w:firstLine="0"/>
              <w:jc w:val="left"/>
            </w:pPr>
            <w:r>
              <w:rPr>
                <w:rFonts w:ascii="Times New Roman" w:hAnsi="Times New Roman" w:eastAsia="SimSun"/>
                <w:b w:val="0"/>
                <w:color w:val="000000"/>
                <w:sz w:val="21"/>
              </w:rPr>
              <w:t>多证据一致性与反例，不将相关性写成因果。</w:t>
            </w:r>
          </w:p>
        </w:tc>
      </w:tr>
      <w:tr>
        <w:trPr>
          <w:cantSplit/>
        </w:trPr>
        <w:tc>
          <w:tcPr>
            <w:tcW w:type="dxa" w:w="2304"/>
            <w:vAlign w:val="center"/>
            <w:tcMar>
              <w:top w:w="60" w:type="dxa"/>
              <w:bottom w:w="60" w:type="dxa"/>
              <w:left w:w="65" w:type="dxa"/>
              <w:right w:w="65" w:type="dxa"/>
            </w:tcMar>
          </w:tcPr>
          <w:p>
            <w:pPr>
              <w:spacing w:line="260" w:lineRule="exact" w:before="0" w:after="0"/>
              <w:ind w:firstLine="0"/>
              <w:jc w:val="center"/>
            </w:pPr>
            <w:r>
              <w:rPr>
                <w:rFonts w:ascii="Times New Roman" w:hAnsi="Times New Roman" w:eastAsia="SimSun"/>
                <w:b w:val="0"/>
                <w:color w:val="000000"/>
                <w:sz w:val="21"/>
              </w:rPr>
              <w:t>6 Conclusions</w:t>
            </w:r>
          </w:p>
        </w:tc>
        <w:tc>
          <w:tcPr>
            <w:tcW w:type="dxa" w:w="4464"/>
            <w:vAlign w:val="center"/>
            <w:tcMar>
              <w:top w:w="60" w:type="dxa"/>
              <w:bottom w:w="60" w:type="dxa"/>
              <w:left w:w="65" w:type="dxa"/>
              <w:right w:w="65" w:type="dxa"/>
            </w:tcMar>
          </w:tcPr>
          <w:p>
            <w:pPr>
              <w:spacing w:line="260" w:lineRule="exact" w:before="0" w:after="0"/>
              <w:ind w:firstLine="0"/>
              <w:jc w:val="left"/>
            </w:pPr>
            <w:r>
              <w:rPr>
                <w:rFonts w:ascii="Times New Roman" w:hAnsi="Times New Roman" w:eastAsia="SimSun"/>
                <w:b w:val="0"/>
                <w:color w:val="000000"/>
                <w:sz w:val="21"/>
              </w:rPr>
              <w:t>给出有限范围内得到支持的结论；说明哪些假设未被支持及后续验证要求。</w:t>
            </w:r>
          </w:p>
        </w:tc>
        <w:tc>
          <w:tcPr>
            <w:tcW w:type="dxa" w:w="3312"/>
            <w:vAlign w:val="center"/>
            <w:tcMar>
              <w:top w:w="60" w:type="dxa"/>
              <w:bottom w:w="60" w:type="dxa"/>
              <w:left w:w="65" w:type="dxa"/>
              <w:right w:w="65" w:type="dxa"/>
            </w:tcMar>
          </w:tcPr>
          <w:p>
            <w:pPr>
              <w:spacing w:line="260" w:lineRule="exact" w:before="0" w:after="0"/>
              <w:ind w:firstLine="0"/>
              <w:jc w:val="left"/>
            </w:pPr>
            <w:r>
              <w:rPr>
                <w:rFonts w:ascii="Times New Roman" w:hAnsi="Times New Roman" w:eastAsia="SimSun"/>
                <w:b w:val="0"/>
                <w:color w:val="000000"/>
                <w:sz w:val="21"/>
              </w:rPr>
              <w:t>以本轮实验结果逐条收束，不报告预警提前量。</w:t>
            </w:r>
          </w:p>
        </w:tc>
      </w:tr>
    </w:tbl>
    <w:p>
      <w:pPr>
        <w:spacing w:after="0"/>
      </w:pPr>
    </w:p>
    <w:p>
      <w:pPr>
        <w:pStyle w:val="Heading2"/>
      </w:pPr>
      <w:r>
        <w:rPr>
          <w:rFonts w:ascii="Times New Roman" w:hAnsi="Times New Roman" w:eastAsia="SimSun"/>
          <w:b/>
          <w:color w:val="000000"/>
          <w:sz w:val="24"/>
        </w:rPr>
        <w:t>建议正文图表组合</w:t>
      </w:r>
    </w:p>
    <w:p>
      <w:pPr>
        <w:spacing w:line="360" w:lineRule="exact" w:after="60"/>
        <w:ind w:firstLine="480"/>
        <w:jc w:val="both"/>
      </w:pPr>
      <w:r>
        <w:rPr>
          <w:rFonts w:ascii="Times New Roman" w:hAnsi="Times New Roman" w:eastAsia="SimSun"/>
          <w:color w:val="000000"/>
          <w:sz w:val="24"/>
        </w:rPr>
        <w:t>图 1 技术路线概念图；图 2 井组几何及参考层位属性；图 3 真实压力曲线与清洗对照；图 4 聚类比较及代表响应；图 5 预测与特征增量；图 6 微地震同步案例。主文可合并多面板控制篇幅，补充材料保留完整敏感性结果。</w:t>
      </w:r>
    </w:p>
    <w:p>
      <w:pPr>
        <w:spacing w:line="360" w:lineRule="exact" w:after="60"/>
        <w:ind w:firstLine="480"/>
        <w:jc w:val="both"/>
      </w:pPr>
      <w:r>
        <w:rPr>
          <w:rFonts w:ascii="Times New Roman" w:hAnsi="Times New Roman" w:eastAsia="SimSun"/>
          <w:color w:val="000000"/>
          <w:sz w:val="24"/>
        </w:rPr>
        <w:t>表 1 数据与质量控制后队列；表 2 特征、单位与可得时间；表 3 分组预测和消融性能。所有图表在首次引用附近排版，正文先说明检验问题，再解释结果及其适用范围。</w:t>
      </w:r>
    </w:p>
    <w:p>
      <w:r>
        <w:br w:type="page"/>
      </w:r>
    </w:p>
    <w:p>
      <w:pPr>
        <w:pStyle w:val="Heading1"/>
      </w:pPr>
      <w:r>
        <w:rPr>
          <w:rFonts w:ascii="Times New Roman" w:hAnsi="Times New Roman" w:eastAsia="SimSun"/>
          <w:b/>
          <w:color w:val="000000"/>
          <w:sz w:val="30"/>
        </w:rPr>
        <w:t>已有实验结果与结论边界</w:t>
      </w:r>
    </w:p>
    <w:p>
      <w:pPr>
        <w:spacing w:line="360" w:lineRule="exact" w:after="60"/>
        <w:ind w:firstLine="480"/>
        <w:jc w:val="both"/>
      </w:pPr>
      <w:r>
        <w:rPr>
          <w:rFonts w:ascii="Times New Roman" w:hAnsi="Times New Roman" w:eastAsia="SimSun"/>
          <w:color w:val="000000"/>
          <w:sz w:val="24"/>
        </w:rPr>
        <w:t>主队列阳性率为 11.79%（27/229）。阳性全部集中在 H5-3 与 H5-4 之间的井对；H5-1、H5-2 留井测试折没有阳性。总体指标需要与每折事件分布一起阅读，不能据此声称跨平台或任意井对的泛化已获验证。</w:t>
      </w:r>
    </w:p>
    <w:p>
      <w:pPr>
        <w:spacing w:line="260" w:lineRule="exact" w:after="80"/>
        <w:ind w:firstLine="0"/>
        <w:jc w:val="center"/>
      </w:pPr>
      <w:r>
        <w:rPr>
          <w:rFonts w:ascii="Times New Roman" w:hAnsi="Times New Roman" w:eastAsia="SimSun"/>
          <w:color w:val="000000"/>
          <w:sz w:val="21"/>
        </w:rPr>
        <w:t>表 3 留一施工井的折外汇总结果</w:t>
      </w:r>
    </w:p>
    <w:tbl>
      <w:tblPr>
        <w:tblW w:type="auto" w:w="0"/>
        <w:jc w:val="center"/>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4032"/>
        <w:gridCol w:w="2016"/>
        <w:gridCol w:w="2016"/>
        <w:gridCol w:w="2016"/>
      </w:tblGrid>
      <w:tr>
        <w:trPr>
          <w:tblHeader/>
          <w:cantSplit/>
        </w:trPr>
        <w:tc>
          <w:tcPr>
            <w:tcW w:type="dxa" w:w="4032"/>
            <w:vAlign w:val="center"/>
            <w:tcMar>
              <w:top w:w="60" w:type="dxa"/>
              <w:bottom w:w="60" w:type="dxa"/>
              <w:left w:w="65" w:type="dxa"/>
              <w:right w:w="65" w:type="dxa"/>
            </w:tcMar>
            <w:tcBorders>
              <w:bottom w:val="single" w:sz="6" w:color="000000"/>
            </w:tcBorders>
          </w:tcPr>
          <w:p>
            <w:pPr>
              <w:spacing w:line="260" w:lineRule="exact" w:before="0" w:after="0"/>
              <w:ind w:firstLine="0"/>
              <w:jc w:val="center"/>
            </w:pPr>
            <w:r>
              <w:rPr>
                <w:rFonts w:ascii="Times New Roman" w:hAnsi="Times New Roman" w:eastAsia="SimSun"/>
                <w:b/>
                <w:color w:val="000000"/>
                <w:sz w:val="21"/>
              </w:rPr>
              <w:t>模型与特征</w:t>
            </w:r>
          </w:p>
        </w:tc>
        <w:tc>
          <w:tcPr>
            <w:tcW w:type="dxa" w:w="2016"/>
            <w:vAlign w:val="center"/>
            <w:tcMar>
              <w:top w:w="60" w:type="dxa"/>
              <w:bottom w:w="60" w:type="dxa"/>
              <w:left w:w="65" w:type="dxa"/>
              <w:right w:w="65" w:type="dxa"/>
            </w:tcMar>
            <w:tcBorders>
              <w:bottom w:val="single" w:sz="6" w:color="000000"/>
            </w:tcBorders>
          </w:tcPr>
          <w:p>
            <w:pPr>
              <w:spacing w:line="260" w:lineRule="exact" w:before="0" w:after="0"/>
              <w:ind w:firstLine="0"/>
              <w:jc w:val="center"/>
            </w:pPr>
            <w:r>
              <w:rPr>
                <w:rFonts w:ascii="Times New Roman" w:hAnsi="Times New Roman" w:eastAsia="SimSun"/>
                <w:b/>
                <w:color w:val="000000"/>
                <w:sz w:val="21"/>
              </w:rPr>
              <w:t>AUROC</w:t>
            </w:r>
          </w:p>
        </w:tc>
        <w:tc>
          <w:tcPr>
            <w:tcW w:type="dxa" w:w="2016"/>
            <w:vAlign w:val="center"/>
            <w:tcMar>
              <w:top w:w="60" w:type="dxa"/>
              <w:bottom w:w="60" w:type="dxa"/>
              <w:left w:w="65" w:type="dxa"/>
              <w:right w:w="65" w:type="dxa"/>
            </w:tcMar>
            <w:tcBorders>
              <w:bottom w:val="single" w:sz="6" w:color="000000"/>
            </w:tcBorders>
          </w:tcPr>
          <w:p>
            <w:pPr>
              <w:spacing w:line="260" w:lineRule="exact" w:before="0" w:after="0"/>
              <w:ind w:firstLine="0"/>
              <w:jc w:val="center"/>
            </w:pPr>
            <w:r>
              <w:rPr>
                <w:rFonts w:ascii="Times New Roman" w:hAnsi="Times New Roman" w:eastAsia="SimSun"/>
                <w:b/>
                <w:color w:val="000000"/>
                <w:sz w:val="21"/>
              </w:rPr>
              <w:t>AUPRC</w:t>
            </w:r>
          </w:p>
        </w:tc>
        <w:tc>
          <w:tcPr>
            <w:tcW w:type="dxa" w:w="2016"/>
            <w:vAlign w:val="center"/>
            <w:tcMar>
              <w:top w:w="60" w:type="dxa"/>
              <w:bottom w:w="60" w:type="dxa"/>
              <w:left w:w="65" w:type="dxa"/>
              <w:right w:w="65" w:type="dxa"/>
            </w:tcMar>
            <w:tcBorders>
              <w:bottom w:val="single" w:sz="6" w:color="000000"/>
            </w:tcBorders>
          </w:tcPr>
          <w:p>
            <w:pPr>
              <w:spacing w:line="260" w:lineRule="exact" w:before="0" w:after="0"/>
              <w:ind w:firstLine="0"/>
              <w:jc w:val="center"/>
            </w:pPr>
            <w:r>
              <w:rPr>
                <w:rFonts w:ascii="Times New Roman" w:hAnsi="Times New Roman" w:eastAsia="SimSun"/>
                <w:b/>
                <w:color w:val="000000"/>
                <w:sz w:val="21"/>
              </w:rPr>
              <w:t>F1</w:t>
            </w:r>
          </w:p>
        </w:tc>
      </w:tr>
      <w:tr>
        <w:trPr>
          <w:cantSplit/>
        </w:trPr>
        <w:tc>
          <w:tcPr>
            <w:tcW w:type="dxa" w:w="4032"/>
            <w:vAlign w:val="center"/>
            <w:tcMar>
              <w:top w:w="60" w:type="dxa"/>
              <w:bottom w:w="60" w:type="dxa"/>
              <w:left w:w="65" w:type="dxa"/>
              <w:right w:w="65" w:type="dxa"/>
            </w:tcMar>
          </w:tcPr>
          <w:p>
            <w:pPr>
              <w:spacing w:line="260" w:lineRule="exact" w:before="0" w:after="0"/>
              <w:ind w:firstLine="0"/>
              <w:jc w:val="center"/>
            </w:pPr>
            <w:r>
              <w:rPr>
                <w:rFonts w:ascii="Times New Roman" w:hAnsi="Times New Roman" w:eastAsia="SimSun"/>
                <w:b w:val="0"/>
                <w:color w:val="000000"/>
                <w:sz w:val="21"/>
              </w:rPr>
              <w:t>梯度提升树／全部</w:t>
            </w:r>
          </w:p>
        </w:tc>
        <w:tc>
          <w:tcPr>
            <w:tcW w:type="dxa" w:w="2016"/>
            <w:vAlign w:val="center"/>
            <w:tcMar>
              <w:top w:w="60" w:type="dxa"/>
              <w:bottom w:w="60" w:type="dxa"/>
              <w:left w:w="65" w:type="dxa"/>
              <w:right w:w="65" w:type="dxa"/>
            </w:tcMar>
          </w:tcPr>
          <w:p>
            <w:pPr>
              <w:spacing w:line="260" w:lineRule="exact" w:before="0" w:after="0"/>
              <w:ind w:firstLine="0"/>
              <w:jc w:val="center"/>
            </w:pPr>
            <w:r>
              <w:rPr>
                <w:rFonts w:ascii="Times New Roman" w:hAnsi="Times New Roman" w:eastAsia="SimSun"/>
                <w:b w:val="0"/>
                <w:color w:val="000000"/>
                <w:sz w:val="21"/>
              </w:rPr>
              <w:t>0.731</w:t>
            </w:r>
          </w:p>
        </w:tc>
        <w:tc>
          <w:tcPr>
            <w:tcW w:type="dxa" w:w="2016"/>
            <w:vAlign w:val="center"/>
            <w:tcMar>
              <w:top w:w="60" w:type="dxa"/>
              <w:bottom w:w="60" w:type="dxa"/>
              <w:left w:w="65" w:type="dxa"/>
              <w:right w:w="65" w:type="dxa"/>
            </w:tcMar>
          </w:tcPr>
          <w:p>
            <w:pPr>
              <w:spacing w:line="260" w:lineRule="exact" w:before="0" w:after="0"/>
              <w:ind w:firstLine="0"/>
              <w:jc w:val="center"/>
            </w:pPr>
            <w:r>
              <w:rPr>
                <w:rFonts w:ascii="Times New Roman" w:hAnsi="Times New Roman" w:eastAsia="SimSun"/>
                <w:b w:val="0"/>
                <w:color w:val="000000"/>
                <w:sz w:val="21"/>
              </w:rPr>
              <w:t>0.492</w:t>
            </w:r>
          </w:p>
        </w:tc>
        <w:tc>
          <w:tcPr>
            <w:tcW w:type="dxa" w:w="2016"/>
            <w:vAlign w:val="center"/>
            <w:tcMar>
              <w:top w:w="60" w:type="dxa"/>
              <w:bottom w:w="60" w:type="dxa"/>
              <w:left w:w="65" w:type="dxa"/>
              <w:right w:w="65" w:type="dxa"/>
            </w:tcMar>
          </w:tcPr>
          <w:p>
            <w:pPr>
              <w:spacing w:line="260" w:lineRule="exact" w:before="0" w:after="0"/>
              <w:ind w:firstLine="0"/>
              <w:jc w:val="center"/>
            </w:pPr>
            <w:r>
              <w:rPr>
                <w:rFonts w:ascii="Times New Roman" w:hAnsi="Times New Roman" w:eastAsia="SimSun"/>
                <w:b w:val="0"/>
                <w:color w:val="000000"/>
                <w:sz w:val="21"/>
              </w:rPr>
              <w:t>0.475</w:t>
            </w:r>
          </w:p>
        </w:tc>
      </w:tr>
      <w:tr>
        <w:trPr>
          <w:cantSplit/>
        </w:trPr>
        <w:tc>
          <w:tcPr>
            <w:tcW w:type="dxa" w:w="4032"/>
            <w:vAlign w:val="center"/>
            <w:tcMar>
              <w:top w:w="60" w:type="dxa"/>
              <w:bottom w:w="60" w:type="dxa"/>
              <w:left w:w="65" w:type="dxa"/>
              <w:right w:w="65" w:type="dxa"/>
            </w:tcMar>
          </w:tcPr>
          <w:p>
            <w:pPr>
              <w:spacing w:line="260" w:lineRule="exact" w:before="0" w:after="0"/>
              <w:ind w:firstLine="0"/>
              <w:jc w:val="center"/>
            </w:pPr>
            <w:r>
              <w:rPr>
                <w:rFonts w:ascii="Times New Roman" w:hAnsi="Times New Roman" w:eastAsia="SimSun"/>
                <w:b w:val="0"/>
                <w:color w:val="000000"/>
                <w:sz w:val="21"/>
              </w:rPr>
              <w:t>梯度提升树／基础</w:t>
            </w:r>
          </w:p>
        </w:tc>
        <w:tc>
          <w:tcPr>
            <w:tcW w:type="dxa" w:w="2016"/>
            <w:vAlign w:val="center"/>
            <w:tcMar>
              <w:top w:w="60" w:type="dxa"/>
              <w:bottom w:w="60" w:type="dxa"/>
              <w:left w:w="65" w:type="dxa"/>
              <w:right w:w="65" w:type="dxa"/>
            </w:tcMar>
          </w:tcPr>
          <w:p>
            <w:pPr>
              <w:spacing w:line="260" w:lineRule="exact" w:before="0" w:after="0"/>
              <w:ind w:firstLine="0"/>
              <w:jc w:val="center"/>
            </w:pPr>
            <w:r>
              <w:rPr>
                <w:rFonts w:ascii="Times New Roman" w:hAnsi="Times New Roman" w:eastAsia="SimSun"/>
                <w:b w:val="0"/>
                <w:color w:val="000000"/>
                <w:sz w:val="21"/>
              </w:rPr>
              <w:t>0.922</w:t>
            </w:r>
          </w:p>
        </w:tc>
        <w:tc>
          <w:tcPr>
            <w:tcW w:type="dxa" w:w="2016"/>
            <w:vAlign w:val="center"/>
            <w:tcMar>
              <w:top w:w="60" w:type="dxa"/>
              <w:bottom w:w="60" w:type="dxa"/>
              <w:left w:w="65" w:type="dxa"/>
              <w:right w:w="65" w:type="dxa"/>
            </w:tcMar>
          </w:tcPr>
          <w:p>
            <w:pPr>
              <w:spacing w:line="260" w:lineRule="exact" w:before="0" w:after="0"/>
              <w:ind w:firstLine="0"/>
              <w:jc w:val="center"/>
            </w:pPr>
            <w:r>
              <w:rPr>
                <w:rFonts w:ascii="Times New Roman" w:hAnsi="Times New Roman" w:eastAsia="SimSun"/>
                <w:b w:val="0"/>
                <w:color w:val="000000"/>
                <w:sz w:val="21"/>
              </w:rPr>
              <w:t>0.515</w:t>
            </w:r>
          </w:p>
        </w:tc>
        <w:tc>
          <w:tcPr>
            <w:tcW w:type="dxa" w:w="2016"/>
            <w:vAlign w:val="center"/>
            <w:tcMar>
              <w:top w:w="60" w:type="dxa"/>
              <w:bottom w:w="60" w:type="dxa"/>
              <w:left w:w="65" w:type="dxa"/>
              <w:right w:w="65" w:type="dxa"/>
            </w:tcMar>
          </w:tcPr>
          <w:p>
            <w:pPr>
              <w:spacing w:line="260" w:lineRule="exact" w:before="0" w:after="0"/>
              <w:ind w:firstLine="0"/>
              <w:jc w:val="center"/>
            </w:pPr>
            <w:r>
              <w:rPr>
                <w:rFonts w:ascii="Times New Roman" w:hAnsi="Times New Roman" w:eastAsia="SimSun"/>
                <w:b w:val="0"/>
                <w:color w:val="000000"/>
                <w:sz w:val="21"/>
              </w:rPr>
              <w:t>0.571</w:t>
            </w:r>
          </w:p>
        </w:tc>
      </w:tr>
      <w:tr>
        <w:trPr>
          <w:cantSplit/>
        </w:trPr>
        <w:tc>
          <w:tcPr>
            <w:tcW w:type="dxa" w:w="4032"/>
            <w:vAlign w:val="center"/>
            <w:tcMar>
              <w:top w:w="60" w:type="dxa"/>
              <w:bottom w:w="60" w:type="dxa"/>
              <w:left w:w="65" w:type="dxa"/>
              <w:right w:w="65" w:type="dxa"/>
            </w:tcMar>
          </w:tcPr>
          <w:p>
            <w:pPr>
              <w:spacing w:line="260" w:lineRule="exact" w:before="0" w:after="0"/>
              <w:ind w:firstLine="0"/>
              <w:jc w:val="center"/>
            </w:pPr>
            <w:r>
              <w:rPr>
                <w:rFonts w:ascii="Times New Roman" w:hAnsi="Times New Roman" w:eastAsia="SimSun"/>
                <w:b w:val="0"/>
                <w:color w:val="000000"/>
                <w:sz w:val="21"/>
              </w:rPr>
              <w:t>随机森林／基础</w:t>
            </w:r>
          </w:p>
        </w:tc>
        <w:tc>
          <w:tcPr>
            <w:tcW w:type="dxa" w:w="2016"/>
            <w:vAlign w:val="center"/>
            <w:tcMar>
              <w:top w:w="60" w:type="dxa"/>
              <w:bottom w:w="60" w:type="dxa"/>
              <w:left w:w="65" w:type="dxa"/>
              <w:right w:w="65" w:type="dxa"/>
            </w:tcMar>
          </w:tcPr>
          <w:p>
            <w:pPr>
              <w:spacing w:line="260" w:lineRule="exact" w:before="0" w:after="0"/>
              <w:ind w:firstLine="0"/>
              <w:jc w:val="center"/>
            </w:pPr>
            <w:r>
              <w:rPr>
                <w:rFonts w:ascii="Times New Roman" w:hAnsi="Times New Roman" w:eastAsia="SimSun"/>
                <w:b w:val="0"/>
                <w:color w:val="000000"/>
                <w:sz w:val="21"/>
              </w:rPr>
              <w:t>0.948</w:t>
            </w:r>
          </w:p>
        </w:tc>
        <w:tc>
          <w:tcPr>
            <w:tcW w:type="dxa" w:w="2016"/>
            <w:vAlign w:val="center"/>
            <w:tcMar>
              <w:top w:w="60" w:type="dxa"/>
              <w:bottom w:w="60" w:type="dxa"/>
              <w:left w:w="65" w:type="dxa"/>
              <w:right w:w="65" w:type="dxa"/>
            </w:tcMar>
          </w:tcPr>
          <w:p>
            <w:pPr>
              <w:spacing w:line="260" w:lineRule="exact" w:before="0" w:after="0"/>
              <w:ind w:firstLine="0"/>
              <w:jc w:val="center"/>
            </w:pPr>
            <w:r>
              <w:rPr>
                <w:rFonts w:ascii="Times New Roman" w:hAnsi="Times New Roman" w:eastAsia="SimSun"/>
                <w:b w:val="0"/>
                <w:color w:val="000000"/>
                <w:sz w:val="21"/>
              </w:rPr>
              <w:t>0.801</w:t>
            </w:r>
          </w:p>
        </w:tc>
        <w:tc>
          <w:tcPr>
            <w:tcW w:type="dxa" w:w="2016"/>
            <w:vAlign w:val="center"/>
            <w:tcMar>
              <w:top w:w="60" w:type="dxa"/>
              <w:bottom w:w="60" w:type="dxa"/>
              <w:left w:w="65" w:type="dxa"/>
              <w:right w:w="65" w:type="dxa"/>
            </w:tcMar>
          </w:tcPr>
          <w:p>
            <w:pPr>
              <w:spacing w:line="260" w:lineRule="exact" w:before="0" w:after="0"/>
              <w:ind w:firstLine="0"/>
              <w:jc w:val="center"/>
            </w:pPr>
            <w:r>
              <w:rPr>
                <w:rFonts w:ascii="Times New Roman" w:hAnsi="Times New Roman" w:eastAsia="SimSun"/>
                <w:b w:val="0"/>
                <w:color w:val="000000"/>
                <w:sz w:val="21"/>
              </w:rPr>
              <w:t>0.706</w:t>
            </w:r>
          </w:p>
        </w:tc>
      </w:tr>
      <w:tr>
        <w:trPr>
          <w:cantSplit/>
        </w:trPr>
        <w:tc>
          <w:tcPr>
            <w:tcW w:type="dxa" w:w="4032"/>
            <w:vAlign w:val="center"/>
            <w:tcMar>
              <w:top w:w="60" w:type="dxa"/>
              <w:bottom w:w="60" w:type="dxa"/>
              <w:left w:w="65" w:type="dxa"/>
              <w:right w:w="65" w:type="dxa"/>
            </w:tcMar>
          </w:tcPr>
          <w:p>
            <w:pPr>
              <w:spacing w:line="260" w:lineRule="exact" w:before="0" w:after="0"/>
              <w:ind w:firstLine="0"/>
              <w:jc w:val="center"/>
            </w:pPr>
            <w:r>
              <w:rPr>
                <w:rFonts w:ascii="Times New Roman" w:hAnsi="Times New Roman" w:eastAsia="SimSun"/>
                <w:b w:val="0"/>
                <w:color w:val="000000"/>
                <w:sz w:val="21"/>
              </w:rPr>
              <w:t>随机森林／全部</w:t>
            </w:r>
          </w:p>
        </w:tc>
        <w:tc>
          <w:tcPr>
            <w:tcW w:type="dxa" w:w="2016"/>
            <w:vAlign w:val="center"/>
            <w:tcMar>
              <w:top w:w="60" w:type="dxa"/>
              <w:bottom w:w="60" w:type="dxa"/>
              <w:left w:w="65" w:type="dxa"/>
              <w:right w:w="65" w:type="dxa"/>
            </w:tcMar>
          </w:tcPr>
          <w:p>
            <w:pPr>
              <w:spacing w:line="260" w:lineRule="exact" w:before="0" w:after="0"/>
              <w:ind w:firstLine="0"/>
              <w:jc w:val="center"/>
            </w:pPr>
            <w:r>
              <w:rPr>
                <w:rFonts w:ascii="Times New Roman" w:hAnsi="Times New Roman" w:eastAsia="SimSun"/>
                <w:b w:val="0"/>
                <w:color w:val="000000"/>
                <w:sz w:val="21"/>
              </w:rPr>
              <w:t>0.852</w:t>
            </w:r>
          </w:p>
        </w:tc>
        <w:tc>
          <w:tcPr>
            <w:tcW w:type="dxa" w:w="2016"/>
            <w:vAlign w:val="center"/>
            <w:tcMar>
              <w:top w:w="60" w:type="dxa"/>
              <w:bottom w:w="60" w:type="dxa"/>
              <w:left w:w="65" w:type="dxa"/>
              <w:right w:w="65" w:type="dxa"/>
            </w:tcMar>
          </w:tcPr>
          <w:p>
            <w:pPr>
              <w:spacing w:line="260" w:lineRule="exact" w:before="0" w:after="0"/>
              <w:ind w:firstLine="0"/>
              <w:jc w:val="center"/>
            </w:pPr>
            <w:r>
              <w:rPr>
                <w:rFonts w:ascii="Times New Roman" w:hAnsi="Times New Roman" w:eastAsia="SimSun"/>
                <w:b w:val="0"/>
                <w:color w:val="000000"/>
                <w:sz w:val="21"/>
              </w:rPr>
              <w:t>0.580</w:t>
            </w:r>
          </w:p>
        </w:tc>
        <w:tc>
          <w:tcPr>
            <w:tcW w:type="dxa" w:w="2016"/>
            <w:vAlign w:val="center"/>
            <w:tcMar>
              <w:top w:w="60" w:type="dxa"/>
              <w:bottom w:w="60" w:type="dxa"/>
              <w:left w:w="65" w:type="dxa"/>
              <w:right w:w="65" w:type="dxa"/>
            </w:tcMar>
          </w:tcPr>
          <w:p>
            <w:pPr>
              <w:spacing w:line="260" w:lineRule="exact" w:before="0" w:after="0"/>
              <w:ind w:firstLine="0"/>
              <w:jc w:val="center"/>
            </w:pPr>
            <w:r>
              <w:rPr>
                <w:rFonts w:ascii="Times New Roman" w:hAnsi="Times New Roman" w:eastAsia="SimSun"/>
                <w:b w:val="0"/>
                <w:color w:val="000000"/>
                <w:sz w:val="21"/>
              </w:rPr>
              <w:t>0.450</w:t>
            </w:r>
          </w:p>
        </w:tc>
      </w:tr>
      <w:tr>
        <w:trPr>
          <w:cantSplit/>
        </w:trPr>
        <w:tc>
          <w:tcPr>
            <w:tcW w:type="dxa" w:w="4032"/>
            <w:vAlign w:val="center"/>
            <w:tcMar>
              <w:top w:w="60" w:type="dxa"/>
              <w:bottom w:w="60" w:type="dxa"/>
              <w:left w:w="65" w:type="dxa"/>
              <w:right w:w="65" w:type="dxa"/>
            </w:tcMar>
          </w:tcPr>
          <w:p>
            <w:pPr>
              <w:spacing w:line="260" w:lineRule="exact" w:before="0" w:after="0"/>
              <w:ind w:firstLine="0"/>
              <w:jc w:val="center"/>
            </w:pPr>
            <w:r>
              <w:rPr>
                <w:rFonts w:ascii="Times New Roman" w:hAnsi="Times New Roman" w:eastAsia="SimSun"/>
                <w:b w:val="0"/>
                <w:color w:val="000000"/>
                <w:sz w:val="21"/>
              </w:rPr>
              <w:t>逻辑回归／基础</w:t>
            </w:r>
          </w:p>
        </w:tc>
        <w:tc>
          <w:tcPr>
            <w:tcW w:type="dxa" w:w="2016"/>
            <w:vAlign w:val="center"/>
            <w:tcMar>
              <w:top w:w="60" w:type="dxa"/>
              <w:bottom w:w="60" w:type="dxa"/>
              <w:left w:w="65" w:type="dxa"/>
              <w:right w:w="65" w:type="dxa"/>
            </w:tcMar>
          </w:tcPr>
          <w:p>
            <w:pPr>
              <w:spacing w:line="260" w:lineRule="exact" w:before="0" w:after="0"/>
              <w:ind w:firstLine="0"/>
              <w:jc w:val="center"/>
            </w:pPr>
            <w:r>
              <w:rPr>
                <w:rFonts w:ascii="Times New Roman" w:hAnsi="Times New Roman" w:eastAsia="SimSun"/>
                <w:b w:val="0"/>
                <w:color w:val="000000"/>
                <w:sz w:val="21"/>
              </w:rPr>
              <w:t>0.799</w:t>
            </w:r>
          </w:p>
        </w:tc>
        <w:tc>
          <w:tcPr>
            <w:tcW w:type="dxa" w:w="2016"/>
            <w:vAlign w:val="center"/>
            <w:tcMar>
              <w:top w:w="60" w:type="dxa"/>
              <w:bottom w:w="60" w:type="dxa"/>
              <w:left w:w="65" w:type="dxa"/>
              <w:right w:w="65" w:type="dxa"/>
            </w:tcMar>
          </w:tcPr>
          <w:p>
            <w:pPr>
              <w:spacing w:line="260" w:lineRule="exact" w:before="0" w:after="0"/>
              <w:ind w:firstLine="0"/>
              <w:jc w:val="center"/>
            </w:pPr>
            <w:r>
              <w:rPr>
                <w:rFonts w:ascii="Times New Roman" w:hAnsi="Times New Roman" w:eastAsia="SimSun"/>
                <w:b w:val="0"/>
                <w:color w:val="000000"/>
                <w:sz w:val="21"/>
              </w:rPr>
              <w:t>0.284</w:t>
            </w:r>
          </w:p>
        </w:tc>
        <w:tc>
          <w:tcPr>
            <w:tcW w:type="dxa" w:w="2016"/>
            <w:vAlign w:val="center"/>
            <w:tcMar>
              <w:top w:w="60" w:type="dxa"/>
              <w:bottom w:w="60" w:type="dxa"/>
              <w:left w:w="65" w:type="dxa"/>
              <w:right w:w="65" w:type="dxa"/>
            </w:tcMar>
          </w:tcPr>
          <w:p>
            <w:pPr>
              <w:spacing w:line="260" w:lineRule="exact" w:before="0" w:after="0"/>
              <w:ind w:firstLine="0"/>
              <w:jc w:val="center"/>
            </w:pPr>
            <w:r>
              <w:rPr>
                <w:rFonts w:ascii="Times New Roman" w:hAnsi="Times New Roman" w:eastAsia="SimSun"/>
                <w:b w:val="0"/>
                <w:color w:val="000000"/>
                <w:sz w:val="21"/>
              </w:rPr>
              <w:t>0.302</w:t>
            </w:r>
          </w:p>
        </w:tc>
      </w:tr>
    </w:tbl>
    <w:p>
      <w:pPr>
        <w:spacing w:after="0"/>
      </w:pPr>
    </w:p>
    <w:p>
      <w:pPr>
        <w:spacing w:line="360" w:lineRule="exact" w:after="60"/>
        <w:ind w:firstLine="480"/>
        <w:jc w:val="both"/>
      </w:pPr>
      <w:r>
        <w:rPr>
          <w:rFonts w:ascii="Times New Roman" w:hAnsi="Times New Roman" w:eastAsia="SimSun"/>
          <w:color w:val="000000"/>
          <w:sz w:val="22"/>
        </w:rPr>
        <w:t>梯度提升树全部特征的 AUROC 95% 区间为 0.584–0.853，AUPRC 为 0.327–0.665；随机森林基础组相应为 0.898–0.984 和 0.661–0.910。上述区间由施工段重采样获得。对当前队列，加入力学和参考层位地震代理未带来一致的总体预测提升，这是应当报告的消融结果。</w:t>
      </w:r>
    </w:p>
    <w:p>
      <w:pPr>
        <w:pStyle w:val="Heading2"/>
      </w:pPr>
      <w:r>
        <w:rPr>
          <w:rFonts w:ascii="Times New Roman" w:hAnsi="Times New Roman" w:eastAsia="SimSun"/>
          <w:b/>
          <w:color w:val="000000"/>
          <w:sz w:val="24"/>
        </w:rPr>
        <w:t>聚类结果不能等同于四种已确认机理</w:t>
      </w:r>
    </w:p>
    <w:p>
      <w:pPr>
        <w:spacing w:line="260" w:lineRule="exact" w:after="80"/>
        <w:ind w:firstLine="0"/>
        <w:jc w:val="center"/>
      </w:pPr>
      <w:r>
        <w:rPr>
          <w:rFonts w:ascii="Times New Roman" w:hAnsi="Times New Roman" w:eastAsia="SimSun"/>
          <w:color w:val="000000"/>
          <w:sz w:val="21"/>
        </w:rPr>
        <w:t>表 4 聚类数比较中的关键结果</w:t>
      </w:r>
    </w:p>
    <w:tbl>
      <w:tblPr>
        <w:tblW w:type="auto" w:w="0"/>
        <w:jc w:val="center"/>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168"/>
        <w:gridCol w:w="1800"/>
        <w:gridCol w:w="5112"/>
      </w:tblGrid>
      <w:tr>
        <w:trPr>
          <w:tblHeader/>
          <w:cantSplit/>
        </w:trPr>
        <w:tc>
          <w:tcPr>
            <w:tcW w:type="dxa" w:w="3168"/>
            <w:vAlign w:val="center"/>
            <w:tcMar>
              <w:top w:w="60" w:type="dxa"/>
              <w:bottom w:w="60" w:type="dxa"/>
              <w:left w:w="65" w:type="dxa"/>
              <w:right w:w="65" w:type="dxa"/>
            </w:tcMar>
            <w:tcBorders>
              <w:bottom w:val="single" w:sz="6" w:color="000000"/>
            </w:tcBorders>
          </w:tcPr>
          <w:p>
            <w:pPr>
              <w:spacing w:line="260" w:lineRule="exact" w:before="0" w:after="0"/>
              <w:ind w:firstLine="0"/>
              <w:jc w:val="center"/>
            </w:pPr>
            <w:r>
              <w:rPr>
                <w:rFonts w:ascii="Times New Roman" w:hAnsi="Times New Roman" w:eastAsia="SimSun"/>
                <w:b/>
                <w:color w:val="000000"/>
                <w:sz w:val="21"/>
              </w:rPr>
              <w:t>方案</w:t>
            </w:r>
          </w:p>
        </w:tc>
        <w:tc>
          <w:tcPr>
            <w:tcW w:type="dxa" w:w="1800"/>
            <w:vAlign w:val="center"/>
            <w:tcMar>
              <w:top w:w="60" w:type="dxa"/>
              <w:bottom w:w="60" w:type="dxa"/>
              <w:left w:w="65" w:type="dxa"/>
              <w:right w:w="65" w:type="dxa"/>
            </w:tcMar>
            <w:tcBorders>
              <w:bottom w:val="single" w:sz="6" w:color="000000"/>
            </w:tcBorders>
          </w:tcPr>
          <w:p>
            <w:pPr>
              <w:spacing w:line="260" w:lineRule="exact" w:before="0" w:after="0"/>
              <w:ind w:firstLine="0"/>
              <w:jc w:val="center"/>
            </w:pPr>
            <w:r>
              <w:rPr>
                <w:rFonts w:ascii="Times New Roman" w:hAnsi="Times New Roman" w:eastAsia="SimSun"/>
                <w:b/>
                <w:color w:val="000000"/>
                <w:sz w:val="21"/>
              </w:rPr>
              <w:t>轮廓系数</w:t>
            </w:r>
          </w:p>
        </w:tc>
        <w:tc>
          <w:tcPr>
            <w:tcW w:type="dxa" w:w="5112"/>
            <w:vAlign w:val="center"/>
            <w:tcMar>
              <w:top w:w="60" w:type="dxa"/>
              <w:bottom w:w="60" w:type="dxa"/>
              <w:left w:w="65" w:type="dxa"/>
              <w:right w:w="65" w:type="dxa"/>
            </w:tcMar>
            <w:tcBorders>
              <w:bottom w:val="single" w:sz="6" w:color="000000"/>
            </w:tcBorders>
          </w:tcPr>
          <w:p>
            <w:pPr>
              <w:spacing w:line="260" w:lineRule="exact" w:before="0" w:after="0"/>
              <w:ind w:firstLine="0"/>
              <w:jc w:val="center"/>
            </w:pPr>
            <w:r>
              <w:rPr>
                <w:rFonts w:ascii="Times New Roman" w:hAnsi="Times New Roman" w:eastAsia="SimSun"/>
                <w:b/>
                <w:color w:val="000000"/>
                <w:sz w:val="21"/>
              </w:rPr>
              <w:t>簇规模或稳定性</w:t>
            </w:r>
          </w:p>
        </w:tc>
      </w:tr>
      <w:tr>
        <w:trPr>
          <w:cantSplit/>
        </w:trPr>
        <w:tc>
          <w:tcPr>
            <w:tcW w:type="dxa" w:w="3168"/>
            <w:vAlign w:val="center"/>
            <w:tcMar>
              <w:top w:w="60" w:type="dxa"/>
              <w:bottom w:w="60" w:type="dxa"/>
              <w:left w:w="65" w:type="dxa"/>
              <w:right w:w="65" w:type="dxa"/>
            </w:tcMar>
          </w:tcPr>
          <w:p>
            <w:pPr>
              <w:spacing w:line="260" w:lineRule="exact" w:before="0" w:after="0"/>
              <w:ind w:firstLine="0"/>
              <w:jc w:val="center"/>
            </w:pPr>
            <w:r>
              <w:rPr>
                <w:rFonts w:ascii="Times New Roman" w:hAnsi="Times New Roman" w:eastAsia="SimSun"/>
                <w:b w:val="0"/>
                <w:color w:val="000000"/>
                <w:sz w:val="21"/>
              </w:rPr>
              <w:t>主队列 K=2</w:t>
            </w:r>
          </w:p>
        </w:tc>
        <w:tc>
          <w:tcPr>
            <w:tcW w:type="dxa" w:w="1800"/>
            <w:vAlign w:val="center"/>
            <w:tcMar>
              <w:top w:w="60" w:type="dxa"/>
              <w:bottom w:w="60" w:type="dxa"/>
              <w:left w:w="65" w:type="dxa"/>
              <w:right w:w="65" w:type="dxa"/>
            </w:tcMar>
          </w:tcPr>
          <w:p>
            <w:pPr>
              <w:spacing w:line="260" w:lineRule="exact" w:before="0" w:after="0"/>
              <w:ind w:firstLine="0"/>
              <w:jc w:val="center"/>
            </w:pPr>
            <w:r>
              <w:rPr>
                <w:rFonts w:ascii="Times New Roman" w:hAnsi="Times New Roman" w:eastAsia="SimSun"/>
                <w:b w:val="0"/>
                <w:color w:val="000000"/>
                <w:sz w:val="21"/>
              </w:rPr>
              <w:t>0.7168</w:t>
            </w:r>
          </w:p>
        </w:tc>
        <w:tc>
          <w:tcPr>
            <w:tcW w:type="dxa" w:w="5112"/>
            <w:vAlign w:val="center"/>
            <w:tcMar>
              <w:top w:w="60" w:type="dxa"/>
              <w:bottom w:w="60" w:type="dxa"/>
              <w:left w:w="65" w:type="dxa"/>
              <w:right w:w="65" w:type="dxa"/>
            </w:tcMar>
          </w:tcPr>
          <w:p>
            <w:pPr>
              <w:spacing w:line="260" w:lineRule="exact" w:before="0" w:after="0"/>
              <w:ind w:firstLine="0"/>
              <w:jc w:val="left"/>
            </w:pPr>
            <w:r>
              <w:rPr>
                <w:rFonts w:ascii="Times New Roman" w:hAnsi="Times New Roman" w:eastAsia="SimSun"/>
                <w:b w:val="0"/>
                <w:color w:val="000000"/>
                <w:sz w:val="21"/>
              </w:rPr>
              <w:t>38、191；平均 ARI 为 0.9564。</w:t>
            </w:r>
          </w:p>
        </w:tc>
      </w:tr>
      <w:tr>
        <w:trPr>
          <w:cantSplit/>
        </w:trPr>
        <w:tc>
          <w:tcPr>
            <w:tcW w:type="dxa" w:w="3168"/>
            <w:vAlign w:val="center"/>
            <w:tcMar>
              <w:top w:w="60" w:type="dxa"/>
              <w:bottom w:w="60" w:type="dxa"/>
              <w:left w:w="65" w:type="dxa"/>
              <w:right w:w="65" w:type="dxa"/>
            </w:tcMar>
          </w:tcPr>
          <w:p>
            <w:pPr>
              <w:spacing w:line="260" w:lineRule="exact" w:before="0" w:after="0"/>
              <w:ind w:firstLine="0"/>
              <w:jc w:val="center"/>
            </w:pPr>
            <w:r>
              <w:rPr>
                <w:rFonts w:ascii="Times New Roman" w:hAnsi="Times New Roman" w:eastAsia="SimSun"/>
                <w:b w:val="0"/>
                <w:color w:val="000000"/>
                <w:sz w:val="21"/>
              </w:rPr>
              <w:t>主队列 K=3</w:t>
            </w:r>
          </w:p>
        </w:tc>
        <w:tc>
          <w:tcPr>
            <w:tcW w:type="dxa" w:w="1800"/>
            <w:vAlign w:val="center"/>
            <w:tcMar>
              <w:top w:w="60" w:type="dxa"/>
              <w:bottom w:w="60" w:type="dxa"/>
              <w:left w:w="65" w:type="dxa"/>
              <w:right w:w="65" w:type="dxa"/>
            </w:tcMar>
          </w:tcPr>
          <w:p>
            <w:pPr>
              <w:spacing w:line="260" w:lineRule="exact" w:before="0" w:after="0"/>
              <w:ind w:firstLine="0"/>
              <w:jc w:val="center"/>
            </w:pPr>
            <w:r>
              <w:rPr>
                <w:rFonts w:ascii="Times New Roman" w:hAnsi="Times New Roman" w:eastAsia="SimSun"/>
                <w:b w:val="0"/>
                <w:color w:val="000000"/>
                <w:sz w:val="21"/>
              </w:rPr>
              <w:t>0.7345</w:t>
            </w:r>
          </w:p>
        </w:tc>
        <w:tc>
          <w:tcPr>
            <w:tcW w:type="dxa" w:w="5112"/>
            <w:vAlign w:val="center"/>
            <w:tcMar>
              <w:top w:w="60" w:type="dxa"/>
              <w:bottom w:w="60" w:type="dxa"/>
              <w:left w:w="65" w:type="dxa"/>
              <w:right w:w="65" w:type="dxa"/>
            </w:tcMar>
          </w:tcPr>
          <w:p>
            <w:pPr>
              <w:spacing w:line="260" w:lineRule="exact" w:before="0" w:after="0"/>
              <w:ind w:firstLine="0"/>
              <w:jc w:val="left"/>
            </w:pPr>
            <w:r>
              <w:rPr>
                <w:rFonts w:ascii="Times New Roman" w:hAnsi="Times New Roman" w:eastAsia="SimSun"/>
                <w:b w:val="0"/>
                <w:color w:val="000000"/>
                <w:sz w:val="21"/>
              </w:rPr>
              <w:t>2、38、189。</w:t>
            </w:r>
          </w:p>
        </w:tc>
      </w:tr>
      <w:tr>
        <w:trPr>
          <w:cantSplit/>
        </w:trPr>
        <w:tc>
          <w:tcPr>
            <w:tcW w:type="dxa" w:w="3168"/>
            <w:vAlign w:val="center"/>
            <w:tcMar>
              <w:top w:w="60" w:type="dxa"/>
              <w:bottom w:w="60" w:type="dxa"/>
              <w:left w:w="65" w:type="dxa"/>
              <w:right w:w="65" w:type="dxa"/>
            </w:tcMar>
          </w:tcPr>
          <w:p>
            <w:pPr>
              <w:spacing w:line="260" w:lineRule="exact" w:before="0" w:after="0"/>
              <w:ind w:firstLine="0"/>
              <w:jc w:val="center"/>
            </w:pPr>
            <w:r>
              <w:rPr>
                <w:rFonts w:ascii="Times New Roman" w:hAnsi="Times New Roman" w:eastAsia="SimSun"/>
                <w:b w:val="0"/>
                <w:color w:val="000000"/>
                <w:sz w:val="21"/>
              </w:rPr>
              <w:t>主队列 K=4</w:t>
            </w:r>
          </w:p>
        </w:tc>
        <w:tc>
          <w:tcPr>
            <w:tcW w:type="dxa" w:w="1800"/>
            <w:vAlign w:val="center"/>
            <w:tcMar>
              <w:top w:w="60" w:type="dxa"/>
              <w:bottom w:w="60" w:type="dxa"/>
              <w:left w:w="65" w:type="dxa"/>
              <w:right w:w="65" w:type="dxa"/>
            </w:tcMar>
          </w:tcPr>
          <w:p>
            <w:pPr>
              <w:spacing w:line="260" w:lineRule="exact" w:before="0" w:after="0"/>
              <w:ind w:firstLine="0"/>
              <w:jc w:val="center"/>
            </w:pPr>
            <w:r>
              <w:rPr>
                <w:rFonts w:ascii="Times New Roman" w:hAnsi="Times New Roman" w:eastAsia="SimSun"/>
                <w:b w:val="0"/>
                <w:color w:val="000000"/>
                <w:sz w:val="21"/>
              </w:rPr>
              <w:t>0.7379</w:t>
            </w:r>
          </w:p>
        </w:tc>
        <w:tc>
          <w:tcPr>
            <w:tcW w:type="dxa" w:w="5112"/>
            <w:vAlign w:val="center"/>
            <w:tcMar>
              <w:top w:w="60" w:type="dxa"/>
              <w:bottom w:w="60" w:type="dxa"/>
              <w:left w:w="65" w:type="dxa"/>
              <w:right w:w="65" w:type="dxa"/>
            </w:tcMar>
          </w:tcPr>
          <w:p>
            <w:pPr>
              <w:spacing w:line="260" w:lineRule="exact" w:before="0" w:after="0"/>
              <w:ind w:firstLine="0"/>
              <w:jc w:val="left"/>
            </w:pPr>
            <w:r>
              <w:rPr>
                <w:rFonts w:ascii="Times New Roman" w:hAnsi="Times New Roman" w:eastAsia="SimSun"/>
                <w:b w:val="0"/>
                <w:color w:val="000000"/>
                <w:sz w:val="21"/>
              </w:rPr>
              <w:t>2、2、36、189；平均 ARI 为 0.8534。</w:t>
            </w:r>
          </w:p>
        </w:tc>
      </w:tr>
      <w:tr>
        <w:trPr>
          <w:cantSplit/>
        </w:trPr>
        <w:tc>
          <w:tcPr>
            <w:tcW w:type="dxa" w:w="3168"/>
            <w:vAlign w:val="center"/>
            <w:tcMar>
              <w:top w:w="60" w:type="dxa"/>
              <w:bottom w:w="60" w:type="dxa"/>
              <w:left w:w="65" w:type="dxa"/>
              <w:right w:w="65" w:type="dxa"/>
            </w:tcMar>
          </w:tcPr>
          <w:p>
            <w:pPr>
              <w:spacing w:line="260" w:lineRule="exact" w:before="0" w:after="0"/>
              <w:ind w:firstLine="0"/>
              <w:jc w:val="center"/>
            </w:pPr>
            <w:r>
              <w:rPr>
                <w:rFonts w:ascii="Times New Roman" w:hAnsi="Times New Roman" w:eastAsia="SimSun"/>
                <w:b w:val="0"/>
                <w:color w:val="000000"/>
                <w:sz w:val="21"/>
              </w:rPr>
              <w:t>排除 2 个大阶跃后 K=3</w:t>
            </w:r>
          </w:p>
        </w:tc>
        <w:tc>
          <w:tcPr>
            <w:tcW w:type="dxa" w:w="1800"/>
            <w:vAlign w:val="center"/>
            <w:tcMar>
              <w:top w:w="60" w:type="dxa"/>
              <w:bottom w:w="60" w:type="dxa"/>
              <w:left w:w="65" w:type="dxa"/>
              <w:right w:w="65" w:type="dxa"/>
            </w:tcMar>
          </w:tcPr>
          <w:p>
            <w:pPr>
              <w:spacing w:line="260" w:lineRule="exact" w:before="0" w:after="0"/>
              <w:ind w:firstLine="0"/>
              <w:jc w:val="center"/>
            </w:pPr>
            <w:r>
              <w:rPr>
                <w:rFonts w:ascii="Times New Roman" w:hAnsi="Times New Roman" w:eastAsia="SimSun"/>
                <w:b w:val="0"/>
                <w:color w:val="000000"/>
                <w:sz w:val="21"/>
              </w:rPr>
              <w:t>0.7470</w:t>
            </w:r>
          </w:p>
        </w:tc>
        <w:tc>
          <w:tcPr>
            <w:tcW w:type="dxa" w:w="5112"/>
            <w:vAlign w:val="center"/>
            <w:tcMar>
              <w:top w:w="60" w:type="dxa"/>
              <w:bottom w:w="60" w:type="dxa"/>
              <w:left w:w="65" w:type="dxa"/>
              <w:right w:w="65" w:type="dxa"/>
            </w:tcMar>
          </w:tcPr>
          <w:p>
            <w:pPr>
              <w:spacing w:line="260" w:lineRule="exact" w:before="0" w:after="0"/>
              <w:ind w:firstLine="0"/>
              <w:jc w:val="left"/>
            </w:pPr>
            <w:r>
              <w:rPr>
                <w:rFonts w:ascii="Times New Roman" w:hAnsi="Times New Roman" w:eastAsia="SimSun"/>
                <w:b w:val="0"/>
                <w:color w:val="000000"/>
                <w:sz w:val="21"/>
              </w:rPr>
              <w:t>2、36、189；用于异常影响敏感性。</w:t>
            </w:r>
          </w:p>
        </w:tc>
      </w:tr>
    </w:tbl>
    <w:p>
      <w:pPr>
        <w:spacing w:after="0"/>
      </w:pPr>
    </w:p>
    <w:p>
      <w:pPr>
        <w:spacing w:line="360" w:lineRule="exact" w:after="60"/>
        <w:ind w:firstLine="480"/>
        <w:jc w:val="both"/>
      </w:pPr>
      <w:r>
        <w:rPr>
          <w:rFonts w:ascii="Times New Roman" w:hAnsi="Times New Roman" w:eastAsia="SimSun"/>
          <w:color w:val="000000"/>
          <w:sz w:val="24"/>
        </w:rPr>
        <w:t>K=4 与 K=3 的轮廓系数仅相差 0.0034，K=4 含两个仅 2 例的小簇，其中一簇由大阶跃样本组成；其 ARI 第 5 百分位约 0.443。可据此描述本队列形态分组，但不应宣布四类具有稳定地质力学机理。</w:t>
      </w:r>
    </w:p>
    <w:p>
      <w:pPr>
        <w:spacing w:line="360" w:lineRule="exact" w:after="60"/>
        <w:ind w:firstLine="480"/>
        <w:jc w:val="both"/>
      </w:pPr>
      <w:r>
        <w:rPr>
          <w:rFonts w:ascii="Times New Roman" w:hAnsi="Times New Roman" w:eastAsia="SimSun"/>
          <w:color w:val="000000"/>
          <w:sz w:val="22"/>
        </w:rPr>
        <w:t>跨井对诊断中，留出 H5-3/H5-4 井对后，训练集 191 个样本全部为阴性，无法验证对新阳性井对的识别。H5-1 替代坐标与地震代理联合替换后，全部特征梯度提升树 AUPRC 由 0.492 降至 0.326；坐标基准的不确定性对模型结论具有实质影响。</w:t>
      </w:r>
    </w:p>
    <w:p>
      <w:pPr>
        <w:pStyle w:val="Heading2"/>
      </w:pPr>
      <w:r>
        <w:rPr>
          <w:rFonts w:ascii="Times New Roman" w:hAnsi="Times New Roman" w:eastAsia="SimSun"/>
          <w:b/>
          <w:color w:val="000000"/>
          <w:sz w:val="24"/>
        </w:rPr>
        <w:t>归因与案例证据</w:t>
      </w:r>
    </w:p>
    <w:p>
      <w:pPr>
        <w:spacing w:line="360" w:lineRule="exact" w:after="60"/>
        <w:ind w:firstLine="480"/>
        <w:jc w:val="both"/>
      </w:pPr>
      <w:r>
        <w:rPr>
          <w:rFonts w:ascii="Times New Roman" w:hAnsi="Times New Roman" w:eastAsia="SimSun"/>
          <w:color w:val="000000"/>
          <w:sz w:val="24"/>
        </w:rPr>
        <w:t>采用 64 条置换路径、训练行参考背景的 Monte Carlo Shapley 归因，解释留出样本预测的特征贡献。归因并非 TreeSHAP，也不是地质力学因果效应。微地震用于检验典型压力事件是否伴随时空活动，不能单独确认导流裂缝已连通邻井。</w:t>
      </w:r>
    </w:p>
    <w:p>
      <w:r>
        <w:br w:type="page"/>
      </w:r>
    </w:p>
    <w:p>
      <w:pPr>
        <w:pStyle w:val="Heading1"/>
      </w:pPr>
      <w:r>
        <w:rPr>
          <w:rFonts w:ascii="Times New Roman" w:hAnsi="Times New Roman" w:eastAsia="SimSun"/>
          <w:b/>
          <w:color w:val="000000"/>
          <w:sz w:val="30"/>
        </w:rPr>
        <w:t>原摘要调整与投稿完成条件</w:t>
      </w:r>
    </w:p>
    <w:p>
      <w:pPr>
        <w:spacing w:line="260" w:lineRule="exact" w:after="80"/>
        <w:ind w:firstLine="0"/>
        <w:jc w:val="center"/>
      </w:pPr>
      <w:r>
        <w:rPr>
          <w:rFonts w:ascii="Times New Roman" w:hAnsi="Times New Roman" w:eastAsia="SimSun"/>
          <w:color w:val="000000"/>
          <w:sz w:val="21"/>
        </w:rPr>
        <w:t>表 5 从已投摘要到可复核全文的调整</w:t>
      </w:r>
    </w:p>
    <w:tbl>
      <w:tblPr>
        <w:tblW w:type="auto" w:w="0"/>
        <w:jc w:val="center"/>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2736"/>
        <w:gridCol w:w="7344"/>
      </w:tblGrid>
      <w:tr>
        <w:trPr>
          <w:tblHeader/>
          <w:cantSplit/>
        </w:trPr>
        <w:tc>
          <w:tcPr>
            <w:tcW w:type="dxa" w:w="2736"/>
            <w:vAlign w:val="center"/>
            <w:tcMar>
              <w:top w:w="60" w:type="dxa"/>
              <w:bottom w:w="60" w:type="dxa"/>
              <w:left w:w="65" w:type="dxa"/>
              <w:right w:w="65" w:type="dxa"/>
            </w:tcMar>
            <w:tcBorders>
              <w:bottom w:val="single" w:sz="6" w:color="000000"/>
            </w:tcBorders>
          </w:tcPr>
          <w:p>
            <w:pPr>
              <w:spacing w:line="260" w:lineRule="exact" w:before="0" w:after="0"/>
              <w:ind w:firstLine="0"/>
              <w:jc w:val="center"/>
            </w:pPr>
            <w:r>
              <w:rPr>
                <w:rFonts w:ascii="Times New Roman" w:hAnsi="Times New Roman" w:eastAsia="SimSun"/>
                <w:b/>
                <w:color w:val="000000"/>
                <w:sz w:val="21"/>
              </w:rPr>
              <w:t>原摘要表述</w:t>
            </w:r>
          </w:p>
        </w:tc>
        <w:tc>
          <w:tcPr>
            <w:tcW w:type="dxa" w:w="7344"/>
            <w:vAlign w:val="center"/>
            <w:tcMar>
              <w:top w:w="60" w:type="dxa"/>
              <w:bottom w:w="60" w:type="dxa"/>
              <w:left w:w="65" w:type="dxa"/>
              <w:right w:w="65" w:type="dxa"/>
            </w:tcMar>
            <w:tcBorders>
              <w:bottom w:val="single" w:sz="6" w:color="000000"/>
            </w:tcBorders>
          </w:tcPr>
          <w:p>
            <w:pPr>
              <w:spacing w:line="260" w:lineRule="exact" w:before="0" w:after="0"/>
              <w:ind w:firstLine="0"/>
              <w:jc w:val="center"/>
            </w:pPr>
            <w:r>
              <w:rPr>
                <w:rFonts w:ascii="Times New Roman" w:hAnsi="Times New Roman" w:eastAsia="SimSun"/>
                <w:b/>
                <w:color w:val="000000"/>
                <w:sz w:val="21"/>
              </w:rPr>
              <w:t>全文处理</w:t>
            </w:r>
          </w:p>
        </w:tc>
      </w:tr>
      <w:tr>
        <w:trPr>
          <w:cantSplit/>
        </w:trPr>
        <w:tc>
          <w:tcPr>
            <w:tcW w:type="dxa" w:w="2736"/>
            <w:vAlign w:val="center"/>
            <w:tcMar>
              <w:top w:w="60" w:type="dxa"/>
              <w:bottom w:w="60" w:type="dxa"/>
              <w:left w:w="65" w:type="dxa"/>
              <w:right w:w="65" w:type="dxa"/>
            </w:tcMar>
          </w:tcPr>
          <w:p>
            <w:pPr>
              <w:spacing w:line="260" w:lineRule="exact" w:before="0" w:after="0"/>
              <w:ind w:firstLine="0"/>
              <w:jc w:val="center"/>
            </w:pPr>
            <w:r>
              <w:rPr>
                <w:rFonts w:ascii="Times New Roman" w:hAnsi="Times New Roman" w:eastAsia="SimSun"/>
                <w:b w:val="0"/>
                <w:color w:val="000000"/>
                <w:sz w:val="21"/>
              </w:rPr>
              <w:t>识别四种典型模式</w:t>
            </w:r>
          </w:p>
        </w:tc>
        <w:tc>
          <w:tcPr>
            <w:tcW w:type="dxa" w:w="7344"/>
            <w:vAlign w:val="center"/>
            <w:tcMar>
              <w:top w:w="60" w:type="dxa"/>
              <w:bottom w:w="60" w:type="dxa"/>
              <w:left w:w="65" w:type="dxa"/>
              <w:right w:w="65" w:type="dxa"/>
            </w:tcMar>
          </w:tcPr>
          <w:p>
            <w:pPr>
              <w:spacing w:line="260" w:lineRule="exact" w:before="0" w:after="0"/>
              <w:ind w:firstLine="0"/>
              <w:jc w:val="left"/>
            </w:pPr>
            <w:r>
              <w:rPr>
                <w:rFonts w:ascii="Times New Roman" w:hAnsi="Times New Roman" w:eastAsia="SimSun"/>
                <w:b w:val="0"/>
                <w:color w:val="000000"/>
                <w:sz w:val="21"/>
              </w:rPr>
              <w:t>保留四类作为原先候选形态；按 K=2–6 实验结果讨论小簇、阶跃影响及稳定性，不强制套用四种机理。</w:t>
            </w:r>
          </w:p>
        </w:tc>
      </w:tr>
      <w:tr>
        <w:trPr>
          <w:cantSplit/>
        </w:trPr>
        <w:tc>
          <w:tcPr>
            <w:tcW w:type="dxa" w:w="2736"/>
            <w:vAlign w:val="center"/>
            <w:tcMar>
              <w:top w:w="60" w:type="dxa"/>
              <w:bottom w:w="60" w:type="dxa"/>
              <w:left w:w="65" w:type="dxa"/>
              <w:right w:w="65" w:type="dxa"/>
            </w:tcMar>
          </w:tcPr>
          <w:p>
            <w:pPr>
              <w:spacing w:line="260" w:lineRule="exact" w:before="0" w:after="0"/>
              <w:ind w:firstLine="0"/>
              <w:jc w:val="center"/>
            </w:pPr>
            <w:r>
              <w:rPr>
                <w:rFonts w:ascii="Times New Roman" w:hAnsi="Times New Roman" w:eastAsia="SimSun"/>
                <w:b w:val="0"/>
                <w:color w:val="000000"/>
                <w:sz w:val="21"/>
              </w:rPr>
              <w:t>XGBoost–SHAP 预测</w:t>
            </w:r>
          </w:p>
        </w:tc>
        <w:tc>
          <w:tcPr>
            <w:tcW w:type="dxa" w:w="7344"/>
            <w:vAlign w:val="center"/>
            <w:tcMar>
              <w:top w:w="60" w:type="dxa"/>
              <w:bottom w:w="60" w:type="dxa"/>
              <w:left w:w="65" w:type="dxa"/>
              <w:right w:w="65" w:type="dxa"/>
            </w:tcMar>
          </w:tcPr>
          <w:p>
            <w:pPr>
              <w:spacing w:line="260" w:lineRule="exact" w:before="0" w:after="0"/>
              <w:ind w:firstLine="0"/>
              <w:jc w:val="left"/>
            </w:pPr>
            <w:r>
              <w:rPr>
                <w:rFonts w:ascii="Times New Roman" w:hAnsi="Times New Roman" w:eastAsia="SimSun"/>
                <w:b w:val="0"/>
                <w:color w:val="000000"/>
                <w:sz w:val="21"/>
              </w:rPr>
              <w:t>据实写逻辑回归、随机森林、梯度提升树及 Monte Carlo Shapley；保持题目中的可解释机器学习框架。</w:t>
            </w:r>
          </w:p>
        </w:tc>
      </w:tr>
      <w:tr>
        <w:trPr>
          <w:cantSplit/>
        </w:trPr>
        <w:tc>
          <w:tcPr>
            <w:tcW w:type="dxa" w:w="2736"/>
            <w:vAlign w:val="center"/>
            <w:tcMar>
              <w:top w:w="60" w:type="dxa"/>
              <w:bottom w:w="60" w:type="dxa"/>
              <w:left w:w="65" w:type="dxa"/>
              <w:right w:w="65" w:type="dxa"/>
            </w:tcMar>
          </w:tcPr>
          <w:p>
            <w:pPr>
              <w:spacing w:line="260" w:lineRule="exact" w:before="0" w:after="0"/>
              <w:ind w:firstLine="0"/>
              <w:jc w:val="center"/>
            </w:pPr>
            <w:r>
              <w:rPr>
                <w:rFonts w:ascii="Times New Roman" w:hAnsi="Times New Roman" w:eastAsia="SimSun"/>
                <w:b w:val="0"/>
                <w:color w:val="000000"/>
                <w:sz w:val="21"/>
              </w:rPr>
              <w:t>天然裂缝密度和交会角</w:t>
            </w:r>
          </w:p>
        </w:tc>
        <w:tc>
          <w:tcPr>
            <w:tcW w:type="dxa" w:w="7344"/>
            <w:vAlign w:val="center"/>
            <w:tcMar>
              <w:top w:w="60" w:type="dxa"/>
              <w:bottom w:w="60" w:type="dxa"/>
              <w:left w:w="65" w:type="dxa"/>
              <w:right w:w="65" w:type="dxa"/>
            </w:tcMar>
          </w:tcPr>
          <w:p>
            <w:pPr>
              <w:spacing w:line="260" w:lineRule="exact" w:before="0" w:after="0"/>
              <w:ind w:firstLine="0"/>
              <w:jc w:val="left"/>
            </w:pPr>
            <w:r>
              <w:rPr>
                <w:rFonts w:ascii="Times New Roman" w:hAnsi="Times New Roman" w:eastAsia="SimSun"/>
                <w:b w:val="0"/>
                <w:color w:val="000000"/>
                <w:sz w:val="21"/>
              </w:rPr>
              <w:t>改为有坐标与参考层位定义的地震属性代理；缺少可靠标定时，不报告真实裂缝密度和交会角。</w:t>
            </w:r>
          </w:p>
        </w:tc>
      </w:tr>
      <w:tr>
        <w:trPr>
          <w:cantSplit/>
        </w:trPr>
        <w:tc>
          <w:tcPr>
            <w:tcW w:type="dxa" w:w="2736"/>
            <w:vAlign w:val="center"/>
            <w:tcMar>
              <w:top w:w="60" w:type="dxa"/>
              <w:bottom w:w="60" w:type="dxa"/>
              <w:left w:w="65" w:type="dxa"/>
              <w:right w:w="65" w:type="dxa"/>
            </w:tcMar>
          </w:tcPr>
          <w:p>
            <w:pPr>
              <w:spacing w:line="260" w:lineRule="exact" w:before="0" w:after="0"/>
              <w:ind w:firstLine="0"/>
              <w:jc w:val="center"/>
            </w:pPr>
            <w:r>
              <w:rPr>
                <w:rFonts w:ascii="Times New Roman" w:hAnsi="Times New Roman" w:eastAsia="SimSun"/>
                <w:b w:val="0"/>
                <w:color w:val="000000"/>
                <w:sz w:val="21"/>
              </w:rPr>
              <w:t>压窜风险与机理</w:t>
            </w:r>
          </w:p>
        </w:tc>
        <w:tc>
          <w:tcPr>
            <w:tcW w:type="dxa" w:w="7344"/>
            <w:vAlign w:val="center"/>
            <w:tcMar>
              <w:top w:w="60" w:type="dxa"/>
              <w:bottom w:w="60" w:type="dxa"/>
              <w:left w:w="65" w:type="dxa"/>
              <w:right w:w="65" w:type="dxa"/>
            </w:tcMar>
          </w:tcPr>
          <w:p>
            <w:pPr>
              <w:spacing w:line="260" w:lineRule="exact" w:before="0" w:after="0"/>
              <w:ind w:firstLine="0"/>
              <w:jc w:val="left"/>
            </w:pPr>
            <w:r>
              <w:rPr>
                <w:rFonts w:ascii="Times New Roman" w:hAnsi="Times New Roman" w:eastAsia="SimSun"/>
                <w:b w:val="0"/>
                <w:color w:val="000000"/>
                <w:sz w:val="21"/>
              </w:rPr>
              <w:t>明确本轮目标为持续邻井压力越限；对真实水力连通与损害保持独立定义，用多源案例支持解释。</w:t>
            </w:r>
          </w:p>
        </w:tc>
      </w:tr>
      <w:tr>
        <w:trPr>
          <w:cantSplit/>
        </w:trPr>
        <w:tc>
          <w:tcPr>
            <w:tcW w:type="dxa" w:w="2736"/>
            <w:vAlign w:val="center"/>
            <w:tcMar>
              <w:top w:w="60" w:type="dxa"/>
              <w:bottom w:w="60" w:type="dxa"/>
              <w:left w:w="65" w:type="dxa"/>
              <w:right w:w="65" w:type="dxa"/>
            </w:tcMar>
          </w:tcPr>
          <w:p>
            <w:pPr>
              <w:spacing w:line="260" w:lineRule="exact" w:before="0" w:after="0"/>
              <w:ind w:firstLine="0"/>
              <w:jc w:val="center"/>
            </w:pPr>
            <w:r>
              <w:rPr>
                <w:rFonts w:ascii="Times New Roman" w:hAnsi="Times New Roman" w:eastAsia="SimSun"/>
                <w:b w:val="0"/>
                <w:color w:val="000000"/>
                <w:sz w:val="21"/>
              </w:rPr>
              <w:t>施工强度用于风险预测</w:t>
            </w:r>
          </w:p>
        </w:tc>
        <w:tc>
          <w:tcPr>
            <w:tcW w:type="dxa" w:w="7344"/>
            <w:vAlign w:val="center"/>
            <w:tcMar>
              <w:top w:w="60" w:type="dxa"/>
              <w:bottom w:w="60" w:type="dxa"/>
              <w:left w:w="65" w:type="dxa"/>
              <w:right w:w="65" w:type="dxa"/>
            </w:tcMar>
          </w:tcPr>
          <w:p>
            <w:pPr>
              <w:spacing w:line="260" w:lineRule="exact" w:before="0" w:after="0"/>
              <w:ind w:firstLine="0"/>
              <w:jc w:val="left"/>
            </w:pPr>
            <w:r>
              <w:rPr>
                <w:rFonts w:ascii="Times New Roman" w:hAnsi="Times New Roman" w:eastAsia="SimSun"/>
                <w:b w:val="0"/>
                <w:color w:val="000000"/>
                <w:sz w:val="21"/>
              </w:rPr>
              <w:t>实际完成液量、全程排量及完整邻井响应只用于事后解释；只有压前已知计划量才可作为压前输入。</w:t>
            </w:r>
          </w:p>
        </w:tc>
      </w:tr>
    </w:tbl>
    <w:p>
      <w:pPr>
        <w:spacing w:after="0"/>
      </w:pPr>
    </w:p>
    <w:p>
      <w:pPr>
        <w:pStyle w:val="Heading2"/>
      </w:pPr>
      <w:r>
        <w:rPr>
          <w:rFonts w:ascii="Times New Roman" w:hAnsi="Times New Roman" w:eastAsia="SimSun"/>
          <w:b/>
          <w:color w:val="000000"/>
          <w:sz w:val="24"/>
        </w:rPr>
        <w:t>会议模板与投稿核对</w:t>
      </w:r>
    </w:p>
    <w:p>
      <w:pPr>
        <w:spacing w:line="360" w:lineRule="exact" w:after="60"/>
        <w:ind w:firstLine="480"/>
        <w:jc w:val="both"/>
      </w:pPr>
      <w:r>
        <w:rPr>
          <w:rFonts w:ascii="Times New Roman" w:hAnsi="Times New Roman" w:eastAsia="SimSun"/>
          <w:color w:val="000000"/>
          <w:sz w:val="24"/>
        </w:rPr>
        <w:t>编号使用 IGS-2026-206。正式全文采用官方 Letter 页面、正文双栏，每栏约 3.5 in、栏距 0.3 in；正文 Times New Roman 11 pt、单倍行距，摘要 10 pt。一级标题 12 pt 全大写，二级标题 12 pt 斜体；图题在下，表题在上，均 10 pt；引用为作者—年份并按字母顺序列参考文献。</w:t>
      </w:r>
    </w:p>
    <w:p>
      <w:pPr>
        <w:spacing w:line="360" w:lineRule="exact" w:after="60"/>
        <w:ind w:firstLine="480"/>
        <w:jc w:val="both"/>
      </w:pPr>
      <w:r>
        <w:rPr>
          <w:rFonts w:ascii="Times New Roman" w:hAnsi="Times New Roman" w:eastAsia="SimSun"/>
          <w:color w:val="000000"/>
          <w:sz w:val="24"/>
        </w:rPr>
        <w:t>模板“通常 4–6 页”与“通常 6–10 页且无页限”并存，先按共同范围 6 页组织。保留原学会标志与版权文本；录用为 publication only，而模板固定文案写 selected for presentation，最终提交前核对该状态对应的文案。邮件要求在 2026 年 10 月 5 日前将 PDF 作为录用摘要的 supplementary material 提交。</w:t>
      </w:r>
    </w:p>
    <w:p>
      <w:pPr>
        <w:pStyle w:val="Heading2"/>
      </w:pPr>
      <w:r>
        <w:rPr>
          <w:rFonts w:ascii="Times New Roman" w:hAnsi="Times New Roman" w:eastAsia="SimSun"/>
          <w:b/>
          <w:color w:val="000000"/>
          <w:sz w:val="24"/>
        </w:rPr>
        <w:t>作者科学审核与后续补充</w:t>
      </w:r>
    </w:p>
    <w:p>
      <w:pPr>
        <w:spacing w:line="360" w:lineRule="exact" w:after="60"/>
        <w:ind w:firstLine="480"/>
        <w:jc w:val="both"/>
      </w:pPr>
      <w:r>
        <w:rPr>
          <w:rFonts w:ascii="Times New Roman" w:hAnsi="Times New Roman" w:eastAsia="SimSun"/>
          <w:color w:val="000000"/>
          <w:sz w:val="24"/>
        </w:rPr>
        <w:t>投稿前逐项核对：原作者顺序与机构；L201/LU205 文件归属及井震基准；2 个大阶跃的现场记录；全部压力时间戳和标签；引用与结果数值；图像生成披露要求及图注。不能通过审核的字段继续保留其限制或从预测结论中撤出，不替换为未经验证的解释。</w:t>
      </w:r>
    </w:p>
    <w:p>
      <w:pPr>
        <w:spacing w:line="360" w:lineRule="exact" w:after="60"/>
        <w:ind w:firstLine="480"/>
        <w:jc w:val="both"/>
      </w:pPr>
      <w:r>
        <w:rPr>
          <w:rFonts w:ascii="Times New Roman" w:hAnsi="Times New Roman" w:eastAsia="SimSun"/>
          <w:color w:val="000000"/>
          <w:sz w:val="24"/>
        </w:rPr>
        <w:t>SPE Journal 阶段优先增加独立平台及有阳性的不同井对，获取事件起点和连续施工日志，按时间前缀建立真正的预警任务，报告提前量、单位施工时间误报数与概率校准。明确新增科学问题、数据和验证结果，并引用与披露本会议稿的关系。</w:t>
      </w:r>
    </w:p>
    <w:sectPr w:rsidR="00FC693F" w:rsidRPr="0006063C" w:rsidSect="00034616">
      <w:footerReference w:type="default" r:id="rId10"/>
      <w:pgSz w:w="12240" w:h="15840"/>
      <w:pgMar w:top="979" w:right="1080" w:bottom="979" w:left="108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eastAsia="SimSun"/>
        <w:color w:val="000000"/>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exact"/>
      <w:ind w:firstLine="480"/>
    </w:pPr>
    <w:rPr>
      <w:rFonts w:ascii="Times New Roman" w:hAnsi="Times New Roman" w:eastAsia="SimSu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line="360" w:lineRule="exact"/>
      <w:ind w:firstLine="0"/>
      <w:outlineLvl w:val="0"/>
    </w:pPr>
    <w:rPr>
      <w:rFonts w:asciiTheme="majorHAnsi" w:eastAsiaTheme="majorEastAsia" w:hAnsiTheme="majorHAnsi" w:cstheme="majorBidi" w:ascii="Times New Roman" w:hAnsi="Times New Roman" w:eastAsia="SimSu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00" w:after="0" w:line="360" w:lineRule="exact"/>
      <w:ind w:firstLine="0"/>
      <w:outlineLvl w:val="1"/>
    </w:pPr>
    <w:rPr>
      <w:rFonts w:asciiTheme="majorHAnsi" w:eastAsiaTheme="majorEastAsia" w:hAnsiTheme="majorHAnsi" w:cstheme="majorBidi" w:ascii="Times New Roman" w:hAnsi="Times New Roman" w:eastAsia="SimSu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360" w:lineRule="exact" w:before="0"/>
      <w:ind w:firstLine="0"/>
      <w:contextualSpacing/>
    </w:pPr>
    <w:rPr>
      <w:rFonts w:asciiTheme="majorHAnsi" w:eastAsiaTheme="majorEastAsia" w:hAnsiTheme="majorHAnsi" w:cstheme="majorBidi" w:ascii="Times New Roman" w:hAnsi="Times New Roman" w:eastAsia="SimSun"/>
      <w:b w:val="0"/>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IGS会议论文研究框架</dc:title>
  <dc:subject>L201H5平台压力响应识别与解释性预测</dc:subject>
  <dc:creator/>
  <cp:keywords>IGS; pressure interference; geomechanics; research framework</cp:keywords>
  <dc:description>generated by python-docx</dc:description>
  <cp:lastModifiedBy/>
  <cp:revision>1</cp:revision>
  <dcterms:created xsi:type="dcterms:W3CDTF">2013-12-23T23:15:00Z</dcterms:created>
  <dcterms:modified xsi:type="dcterms:W3CDTF">2013-12-23T23:15:00Z</dcterms:modified>
  <cp:category/>
</cp:coreProperties>
</file>