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 Journal 后续研究思路与框架</w:t>
      </w:r>
    </w:p>
    <w:p>
      <w:pPr>
        <w:pStyle w:val="Heading1"/>
      </w:pPr>
      <w:r>
        <w:t>一 研究定位与会议 期刊衔接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建议保留“IGS 先形成完整现场研究，后续扩展为 SPE Journal 独立投稿”的安排。SPE 当前政策将会议论文排除在禁止的既有期刊发表之外，因此这一路径原则上可行，但是否适合送审、最终是否录用仍取决于新增贡献及证据质量。IGS 为多学会会议，不能套用普通 SPE 编号会议论文的自动转换流程；OnePetro 收录也不代表版权必然归 SPE。后续须核对 IGS 出版协议，引用并披露会议版本，说明新旧研究关系，按实际条款处理图表及文字重用。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IGS 可以缩小研究范围和验证规模，但应从现在保留数据来源、标签规则、程序和失败样本。期刊增强应围绕新科学问题展开，不能仅更换算法、增加图数或扩写文字。</w:t>
      </w:r>
    </w:p>
    <w:p>
      <w:pPr>
        <w:pStyle w:val="Heading1"/>
      </w:pPr>
      <w:r>
        <w:t>二 本轮基础与后续实质新增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目前已清点 L201H5 平台：98 个设计段、97 份施工表、99 份邻井压力表，压力表覆盖 96 个不同段；另有 4 份 LAS 和微地震事件 3235 条原始记录，去重后为 3232 条。这些是资料覆盖量，不能直接等同最终独立训练样本数。已有地震属性需要完成平台归属、坐标和纵向域核对；当前未取得光纤原始矩阵及完整井状态日志。</w:t>
      </w:r>
    </w:p>
    <w:p>
      <w:pPr>
        <w:pStyle w:val="Caption"/>
        <w:jc w:val="center"/>
      </w:pPr>
      <w:r>
        <w:t>表1 IGS 与 SPEJ 的研究增量对照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077"/>
        <w:gridCol w:w="3742"/>
        <w:gridCol w:w="4365"/>
      </w:tblGrid>
      <w:tr>
        <w:trPr>
          <w:cantSplit/>
          <w:tblHeader/>
        </w:trPr>
        <w:tc>
          <w:tcPr>
            <w:tcW w:type="dxa" w:w="1077"/>
            <w:vAlign w:val="center"/>
            <w:tcBorders>
              <w:bottom w:val="single" w:sz="6" w:color="000000"/>
            </w:tcBorders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研究环节</w:t>
            </w:r>
          </w:p>
        </w:tc>
        <w:tc>
          <w:tcPr>
            <w:tcW w:type="dxa" w:w="3742"/>
            <w:vAlign w:val="center"/>
            <w:tcBorders>
              <w:bottom w:val="single" w:sz="6" w:color="000000"/>
            </w:tcBorders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本轮 IGS 目标</w:t>
            </w:r>
          </w:p>
        </w:tc>
        <w:tc>
          <w:tcPr>
            <w:tcW w:type="dxa" w:w="4365"/>
            <w:vAlign w:val="center"/>
            <w:tcBorders>
              <w:bottom w:val="single" w:sz="6" w:color="000000"/>
            </w:tcBorders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SPEJ 需要新增的证据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研究对象</w:t>
            </w:r>
          </w:p>
        </w:tc>
        <w:tc>
          <w:tcPr>
            <w:tcW w:type="dxa" w:w="3742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单平台原始压力响应形态与段级预测探索</w:t>
            </w:r>
          </w:p>
        </w:tc>
        <w:tc>
          <w:tcPr>
            <w:tcW w:type="dxa" w:w="4365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多平台未来时间窗预警及适用边界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事件定义</w:t>
            </w:r>
          </w:p>
        </w:tc>
        <w:tc>
          <w:tcPr>
            <w:tcW w:type="dxa" w:w="3742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持续压力涨幅阈值；与无监督形态簇分开</w:t>
            </w:r>
          </w:p>
        </w:tc>
        <w:tc>
          <w:tcPr>
            <w:tcW w:type="dxa" w:w="4365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独立复核响应事件；分级核验导流连通与损害后果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泛化验证</w:t>
            </w:r>
          </w:p>
        </w:tc>
        <w:tc>
          <w:tcPr>
            <w:tcW w:type="dxa" w:w="3742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源井留出，属于同平台内部转移验证</w:t>
            </w:r>
          </w:p>
        </w:tc>
        <w:tc>
          <w:tcPr>
            <w:tcW w:type="dxa" w:w="4365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完全未见平台及时间向前测试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可解释性</w:t>
            </w:r>
          </w:p>
        </w:tc>
        <w:tc>
          <w:tcPr>
            <w:tcW w:type="dxa" w:w="3742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地质工程特征关联及监测案例</w:t>
            </w:r>
          </w:p>
        </w:tc>
        <w:tc>
          <w:tcPr>
            <w:tcW w:type="dxa" w:w="4365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多源独立证据、混杂分析和概率可靠性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spacing w:line="270" w:lineRule="exact" w:before="0" w:after="0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工程价值</w:t>
            </w:r>
          </w:p>
        </w:tc>
        <w:tc>
          <w:tcPr>
            <w:tcW w:type="dxa" w:w="3742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建立可追溯分析流程</w:t>
            </w:r>
          </w:p>
        </w:tc>
        <w:tc>
          <w:tcPr>
            <w:tcW w:type="dxa" w:w="4365"/>
            <w:vAlign w:val="center"/>
          </w:tcPr>
          <w:p>
            <w:pPr>
              <w:spacing w:line="270" w:lineRule="exact" w:before="0" w:after="0"/>
              <w:ind w:firstLine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>量化有效提前量、漏报及单位施工时间误报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SimSun"/>
          <w:b w:val="0"/>
          <w:i w:val="0"/>
          <w:color w:val="000000"/>
        </w:rPr>
        <w:t>本轮清洗与匹配后进入主模型的数据为 229 个段—邻井样本，覆盖 78 个施工段，其中 27 个样本满足持续压力涨幅判据。所有阳性样本均来自 H5-3 与 H5-4 这一物理井对的两个施工方向。将该井对整体留出时，训练集不含阳性，当前数据因而无法检验向新井对迁移的能力。只按源井留出仍共享监测井、地层和施工背景，属于平台内部转移验证，不能称为跨井对或跨平台外部验证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本轮地质力学与地震特征尚未展示稳定的总体增益，不宜先将其有效性写成期刊前提。强响应 S27 的峰值出现在段内约 30 min 的停泵间隔，提示必须明确连续泵注、段内停泵及整段结束后的观察窗，也不能让最终峰值进入施工早期模型。本轮阈值标签是可复查的压力响应事件，尚未被独立证实为导流连通或损害性压窜。这些限制应直接转化为下一阶段的实验目标。</w:t>
      </w:r>
    </w:p>
    <w:p>
      <w:pPr>
        <w:pStyle w:val="Heading1"/>
        <w:pageBreakBefore/>
      </w:pPr>
      <w:r>
        <w:t>三 主科学问题与建议题目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主问题是：</w:t>
      </w:r>
      <w:r>
        <w:rPr>
          <w:rFonts w:ascii="Times New Roman" w:hAnsi="Times New Roman" w:eastAsia="SimSun"/>
          <w:b/>
          <w:i w:val="0"/>
          <w:color w:val="000000"/>
        </w:rPr>
        <w:t>事件尚未发生时，地质力学背景与截至当前时刻的监测信息，能否共同提高未来显著邻井压力响应的预警能力，并在新平台保持可用的提前量和误报水平？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建议工作题目：</w:t>
      </w:r>
    </w:p>
    <w:p>
      <w:r>
        <w:rPr>
          <w:rFonts w:ascii="Times New Roman" w:hAnsi="Times New Roman" w:eastAsia="SimSun"/>
          <w:b/>
          <w:i w:val="0"/>
          <w:color w:val="000000"/>
        </w:rPr>
        <w:t>Geomechanics-Informed Probabilistic Early Warning of Offset-Well Pressure Responses in Deep Shale Gas Reservoirs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中文：</w:t>
      </w:r>
      <w:r>
        <w:rPr>
          <w:rFonts w:ascii="Times New Roman" w:hAnsi="Times New Roman" w:eastAsia="SimSun"/>
          <w:b/>
          <w:i w:val="0"/>
          <w:color w:val="000000"/>
        </w:rPr>
        <w:t>地质力学背景与动态监测驱动的深层页岩气邻井压力响应概率预警</w:t>
      </w:r>
      <w:r>
        <w:rPr>
          <w:rFonts w:ascii="Times New Roman" w:hAnsi="Times New Roman" w:eastAsia="SimSun"/>
          <w:b w:val="0"/>
          <w:i w:val="0"/>
          <w:color w:val="000000"/>
        </w:rPr>
        <w:t>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若后续获得足够独立导流证据，再将终点拓展为 fracture-driven interactions。已有文献已涉及压力积分、风险聚类和地质工程融合，本文应把严格时间可用性、外部验证和工程预警收益作为主要增量。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拟检验两个假设：第一，在相同误报负担下，加入经核实的地质力学与几何信息能否增加有效提前量；第二，在线监测带来的改进能否在新平台保留。两者应分别检验。如果地质信息没有增益，也可据此分析其分辨率、空间匹配或样本覆盖的限制，不必强求每一种模态都改善模型。</w:t>
      </w:r>
    </w:p>
    <w:p>
      <w:pPr>
        <w:pStyle w:val="Heading1"/>
      </w:pPr>
      <w:r>
        <w:t>四 预警定义 事件标签与信息边界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以“源井压裂段—监测邻井—时刻”为基本记录，压力基线依据事先规定的压前窗口确定。事件定义为压力涨幅达到阈值 δ 并持续至少 τ；阈值、持续时间和异常工况剔除规则在开发资料中确定，测试前冻结。事件起始时刻 T 回溯定位为该持续区间的开端，同时保存满足持续条件的确认时刻，避免将确认等待时间误计为真实提前量。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事件证据分三级记录：压力判据可重复识别的响应事件；有独立返排、流体或其他诊断支持的导流连通事件；有可核验产量、井筒或作业损失的损害事件。后两级需要额外资料，不能直接由压力等级推断。存在其他井同时施工或邻井状态变化时，先标记归属不确定，主分析和敏感性分析分开处理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在尚未发生目标事件的风险集中，模型估计未来 H 时间内首次事件的概率：</w:t>
      </w:r>
    </w:p>
    <w:p>
      <w:pPr>
        <w:spacing w:before="100" w:after="100"/>
        <w:ind w:firstLine="0"/>
        <w:jc w:val="center"/>
      </w:pPr>
      <m:oMath>
        <m:r>
          <m:t>p(t,H) = Pr(t &lt; T ≤ t + H | T &gt; t, I(t))</m:t>
        </m:r>
      </m:oMath>
    </w:p>
    <w:p>
      <w:r>
        <w:rPr>
          <w:rFonts w:ascii="Times New Roman" w:hAnsi="Times New Roman" w:eastAsia="SimSun"/>
          <w:b w:val="0"/>
          <w:i w:val="0"/>
          <w:color w:val="000000"/>
        </w:rPr>
        <w:t>其中信息集 I(t) 只包含在 t 时刻实际可获得的资料。已发生事件后的窗口不用于首次预警评价；施工结束、监测中断或资料截止造成的观察不足，应记录为删失或不可评价，不能自动标成无事件。5 或 10 min 可作为候选预测窗，最终取值依据实际采样和可干预时间确定。主终点应先固定为泵注期内首次事件，停泵后另设预先规定的观察窗及终点；两种结果分别呈现，不能根据强峰所在位置事后改变规则。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每项特征同时记录测量时间和实际可用时间。全段最大涨幅、最终液砂量、停泵后的压力、事后生成的微地震或光纤结论不得进入早期输入。施工实测累计量只能累加至 t；计划值与实测值分列。完整曲线聚类可以用于事后解释，但不能作为同段早期预测的已知标签特征。</w:t>
      </w:r>
    </w:p>
    <w:p>
      <w:pPr>
        <w:pStyle w:val="Heading1"/>
        <w:pageBreakBefore/>
      </w:pPr>
      <w:r>
        <w:t>五 验证 评价与混杂控制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开发阶段按施工事件及相关井组分组，保证同段所有滑窗和同时施工产生的关联记录不跨训练/测试集。最终冻结模型后，分别进行时间向前测试和完全未见平台测试。插补、标准化、特征选择、聚类、调参和报警阈值均限于开发数据；概率校准使用独立验证资料，不能在最终测试平台重新调整后仍称外部测试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比较简单压力变化阈值、正则化逻辑回归、RF/XGBoost 与必要的轻量时序模型，并做静态因素、在线施工、邻井压力和地震属性的增量实验。报告事件级召回率与精确率、PR-AUC、Brier 分数及校准图；采用预先规定的报警合并规则，统计每施工小时误报、报警负担和有效提前量分布。提前量按 T 减首次有效报警时刻计算，同时呈现漏报，不能只展示成功案例。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微地震与光纤用于独立核对空间和时序证据；应变符号变化可能受到孔弹性影响，不能唯一证明裂缝到达。模型还需考虑邻井开关井、仪表变化、基线漂移、井距、压裂顺序、地层和同期施工等混杂。SHAP 表示模型关联，不证明因果。缺乏状态日志的事件应保留不确定等级，地震未覆盖不能填作“无裂缝”。</w:t>
      </w:r>
    </w:p>
    <w:p>
      <w:pPr>
        <w:pStyle w:val="Heading1"/>
      </w:pPr>
      <w:r>
        <w:t>六 最小可行实验与补充资料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第一步，冻结本轮响应判据，完成 H5-3/H5-4 所有阳性与一组匹配无事件段的人工复查，记录工况证据及无法判定的样本。第二步，按原始时间顺序回放，构建截至当前时刻的压力、排量及累计施工特征，先比较简单报警规则与逻辑回归，不预先依赖复杂网络。第三步，加入静态几何和力学信息并做消融，将未展示稳定增益的结果如实保留。第四步，获得新平台后，在完全冻结的模型和阈值上测试；这是判断期刊主结论能否成立的关键阶段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优先补充其他平台完整施工/邻井压力及无响应记录、井状态和传感器日志，覆盖具有独立阳性和无事件记录的多个井对；其次补齐统一坐标的井轨迹、射孔分段和井震标定；再补具有时间戳的压窜、返排、产量或干预记录，最后扩充同步微地震和光纤资料。地震处理说明必须解释属性算法、空值及方向含义。坐标约定敏感性已影响本轮模型表现，后续应以原始坐标定义和井震标定消除歧义，不能依靠选取效果最好的约定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预先约定可接受误报负担及实际可干预提前量，以外部数据上的结果判定研究价值。若加入地质力学或多源信息后能够稳定改善提前量—误报折衷，且概率可靠、关键案例具有独立证据，可支持期刊主张。若增益仅出现在随机切分、报警多在事件之后或换平台即明显失效，应收窄适用范围、报告失败原因，暂不宣称可部署预警。单纯获得更高训练准确率不构成成功。</w:t>
      </w:r>
    </w:p>
    <w:p>
      <w:pPr>
        <w:pStyle w:val="Heading1"/>
        <w:pageBreakBefore/>
      </w:pPr>
      <w:r>
        <w:t>七 期刊全文逐节框架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1. </w:t>
      </w:r>
      <w:r>
        <w:rPr>
          <w:rFonts w:ascii="Times New Roman" w:hAnsi="Times New Roman" w:eastAsia="SimSun"/>
          <w:b/>
          <w:i w:val="0"/>
          <w:color w:val="000000"/>
        </w:rPr>
        <w:t>Introduction</w:t>
      </w:r>
      <w:r>
        <w:rPr>
          <w:rFonts w:ascii="Times New Roman" w:hAnsi="Times New Roman" w:eastAsia="SimSun"/>
          <w:b w:val="0"/>
          <w:i w:val="0"/>
          <w:color w:val="000000"/>
        </w:rPr>
        <w:t>：邻井响应及预警需求，区分检测与预测，交代相对 IGS 和最近邻文献的新增问题。结尾给出可证伪的研究假设和适用场景。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2. </w:t>
      </w:r>
      <w:r>
        <w:rPr>
          <w:rFonts w:ascii="Times New Roman" w:hAnsi="Times New Roman" w:eastAsia="SimSun"/>
          <w:b/>
          <w:i w:val="0"/>
          <w:color w:val="000000"/>
        </w:rPr>
        <w:t>Field Setting and Data</w:t>
      </w:r>
      <w:r>
        <w:rPr>
          <w:rFonts w:ascii="Times New Roman" w:hAnsi="Times New Roman" w:eastAsia="SimSun"/>
          <w:b w:val="0"/>
          <w:i w:val="0"/>
          <w:color w:val="000000"/>
        </w:rPr>
        <w:t>：多平台地质力学背景、监测覆盖、样本与时空质量控制。用流程与数量表交代原始资料到有效事件的筛选过程。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3. </w:t>
      </w:r>
      <w:r>
        <w:rPr>
          <w:rFonts w:ascii="Times New Roman" w:hAnsi="Times New Roman" w:eastAsia="SimSun"/>
          <w:b/>
          <w:i w:val="0"/>
          <w:color w:val="000000"/>
        </w:rPr>
        <w:t>Event Definition and Adjudication</w:t>
      </w:r>
      <w:r>
        <w:rPr>
          <w:rFonts w:ascii="Times New Roman" w:hAnsi="Times New Roman" w:eastAsia="SimSun"/>
          <w:b w:val="0"/>
          <w:i w:val="0"/>
          <w:color w:val="000000"/>
        </w:rPr>
        <w:t>：阈值事件、独立复核、机理/后果等级、删失与风险集。展示一个正例、一个工况干扰例和一个未响应例。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4. </w:t>
      </w:r>
      <w:r>
        <w:rPr>
          <w:rFonts w:ascii="Times New Roman" w:hAnsi="Times New Roman" w:eastAsia="SimSun"/>
          <w:b/>
          <w:i w:val="0"/>
          <w:color w:val="000000"/>
        </w:rPr>
        <w:t>Probabilistic Warning Method</w:t>
      </w:r>
      <w:r>
        <w:rPr>
          <w:rFonts w:ascii="Times New Roman" w:hAnsi="Times New Roman" w:eastAsia="SimSun"/>
          <w:b w:val="0"/>
          <w:i w:val="0"/>
          <w:color w:val="000000"/>
        </w:rPr>
        <w:t>：信息可用性、静态背景、在线特征、模型及概率校准。明确每个输入的测量与可用时间及缺失处理。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5. </w:t>
      </w:r>
      <w:r>
        <w:rPr>
          <w:rFonts w:ascii="Times New Roman" w:hAnsi="Times New Roman" w:eastAsia="SimSun"/>
          <w:b/>
          <w:i w:val="0"/>
          <w:color w:val="000000"/>
        </w:rPr>
        <w:t>Experimental Protocol</w:t>
      </w:r>
      <w:r>
        <w:rPr>
          <w:rFonts w:ascii="Times New Roman" w:hAnsi="Times New Roman" w:eastAsia="SimSun"/>
          <w:b w:val="0"/>
          <w:i w:val="0"/>
          <w:color w:val="000000"/>
        </w:rPr>
        <w:t>：分组、时间和平台留出，基线、消融及敏感性分析。说明阈值冻结、置信区间和相关事件的抽样单位。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6. </w:t>
      </w:r>
      <w:r>
        <w:rPr>
          <w:rFonts w:ascii="Times New Roman" w:hAnsi="Times New Roman" w:eastAsia="SimSun"/>
          <w:b/>
          <w:i w:val="0"/>
          <w:color w:val="000000"/>
        </w:rPr>
        <w:t>Results</w:t>
      </w:r>
      <w:r>
        <w:rPr>
          <w:rFonts w:ascii="Times New Roman" w:hAnsi="Times New Roman" w:eastAsia="SimSun"/>
          <w:b w:val="0"/>
          <w:i w:val="0"/>
          <w:color w:val="000000"/>
        </w:rPr>
        <w:t>：外部事件级表现、提前量与误报、校准及多源增益，均据实际实验填写。共同特征全样本与地震覆盖子集分别报告。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7. </w:t>
      </w:r>
      <w:r>
        <w:rPr>
          <w:rFonts w:ascii="Times New Roman" w:hAnsi="Times New Roman" w:eastAsia="SimSun"/>
          <w:b/>
          <w:i w:val="0"/>
          <w:color w:val="000000"/>
        </w:rPr>
        <w:t>Mechanistic Cases and Discussion</w:t>
      </w:r>
      <w:r>
        <w:rPr>
          <w:rFonts w:ascii="Times New Roman" w:hAnsi="Times New Roman" w:eastAsia="SimSun"/>
          <w:b w:val="0"/>
          <w:i w:val="0"/>
          <w:color w:val="000000"/>
        </w:rPr>
        <w:t>：成功、失败和无事件案例；独立监测证据、混杂与工程解释。呈现证据不一致的情况及其含义。</w:t>
      </w:r>
    </w:p>
    <w:p>
      <w:pPr>
        <w:spacing w:after="80"/>
        <w:ind w:firstLine="0"/>
      </w:pPr>
      <w:r>
        <w:rPr>
          <w:rFonts w:ascii="Times New Roman" w:hAnsi="Times New Roman" w:eastAsia="SimSun"/>
          <w:b w:val="0"/>
          <w:i w:val="0"/>
          <w:color w:val="000000"/>
        </w:rPr>
        <w:t xml:space="preserve">8. </w:t>
      </w:r>
      <w:r>
        <w:rPr>
          <w:rFonts w:ascii="Times New Roman" w:hAnsi="Times New Roman" w:eastAsia="SimSun"/>
          <w:b/>
          <w:i w:val="0"/>
          <w:color w:val="000000"/>
        </w:rPr>
        <w:t>Limitations and Conclusions</w:t>
      </w:r>
      <w:r>
        <w:rPr>
          <w:rFonts w:ascii="Times New Roman" w:hAnsi="Times New Roman" w:eastAsia="SimSun"/>
          <w:b w:val="0"/>
          <w:i w:val="0"/>
          <w:color w:val="000000"/>
        </w:rPr>
        <w:t>：资料覆盖、标签与推广边界；离线回放与实际在线部署分开表述。结论回答预设假设，不以算法复杂度代替贡献。</w:t>
      </w:r>
    </w:p>
    <w:p>
      <w:pPr>
        <w:pStyle w:val="Heading1"/>
      </w:pPr>
      <w:r>
        <w:t>八 投稿与 AI 使用说明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按本次核查的 SPE 要求，技术论文不超过 10,000 词，最多 20 张半页及以下图，全页图计两张，附录图计入；额外材料可另附。投稿时提供会议版本、增量说明和实际需要的版权许可，不预设固定新增比例。当前政策要求如实披露 AI 写作、校对或内容辅助；概念图可按实际使用情况说明工具和作者核验过程，所有数据图及性能结果由真实分析产生。提交前应重新核对当时作者指南。</w:t>
      </w:r>
    </w:p>
    <w:p>
      <w:r>
        <w:rPr>
          <w:rFonts w:ascii="Times New Roman" w:hAnsi="Times New Roman" w:eastAsia="SimSun"/>
          <w:b w:val="0"/>
          <w:i w:val="0"/>
          <w:color w:val="000000"/>
        </w:rPr>
        <w:t>建议在投稿信中列出 IGS 会议版本的题目、出处和可获得的 DOI，附新增问题、数据、方法及验证的逐项说明；正文相关段落引用会议版。AI 使用说明写入方法或致谢，按实际用途注明语言编辑及概念图辅助，并说明作者核验责任。概念图不得含有并不存在的实测结构、结果曲线或性能数值。</w:t>
      </w:r>
    </w:p>
    <w:p>
      <w:pPr>
        <w:pStyle w:val="Heading1"/>
        <w:pageBreakBefore/>
      </w:pPr>
      <w:r>
        <w:t>参考文献与官方来源</w:t>
      </w:r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1. Zeng, B., Su, Y., Wu, J., et al. 2025. Quantitative Characterization and Risk Classification of Frac Hit in Deep Shale Gas Wells: A Machine Learning Approach Integrating Geological and Engineering Factors. </w:t>
      </w:r>
      <w:r>
        <w:rPr>
          <w:rFonts w:ascii="Times New Roman" w:hAnsi="Times New Roman" w:eastAsia="SimSun"/>
          <w:b w:val="0"/>
          <w:i/>
          <w:color w:val="000000"/>
          <w:sz w:val="21"/>
        </w:rPr>
        <w:t>Processes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13(6):1785. </w:t>
      </w:r>
      <w:hyperlink r:id="rId9">
        <w:r>
          <w:rPr>
            <w:rFonts w:ascii="Times New Roman" w:hAnsi="Times New Roman" w:eastAsia="SimSun"/>
            <w:sz w:val="21"/>
            <w:color w:val="000000"/>
            <w:u w:val="single"/>
          </w:rPr>
          <w:t>DOI: 10.3390/pr13061785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2. Liu, G., Wu, X., and Romanov, V. 2024. Unconventional Wells Interference: Supervised Machine Learning for Detecting Fracture Hits. </w:t>
      </w:r>
      <w:r>
        <w:rPr>
          <w:rFonts w:ascii="Times New Roman" w:hAnsi="Times New Roman" w:eastAsia="SimSun"/>
          <w:b w:val="0"/>
          <w:i/>
          <w:color w:val="000000"/>
          <w:sz w:val="21"/>
        </w:rPr>
        <w:t>Applied Sciences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14(7):2927. </w:t>
      </w:r>
      <w:hyperlink r:id="rId10">
        <w:r>
          <w:rPr>
            <w:rFonts w:ascii="Times New Roman" w:hAnsi="Times New Roman" w:eastAsia="SimSun"/>
            <w:sz w:val="21"/>
            <w:color w:val="000000"/>
            <w:u w:val="single"/>
          </w:rPr>
          <w:t>DOI: 10.3390/app14072927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3. Tang, X., Zhu, H., He, Y., et al. 2023. Complex Well-Interferences During Multi-Wells Hydraulic Fracturing in Sichuan Deep Shale Gas Reservoir. International Geomechanics Symposium. </w:t>
      </w:r>
      <w:hyperlink r:id="rId11">
        <w:r>
          <w:rPr>
            <w:rFonts w:ascii="Times New Roman" w:hAnsi="Times New Roman" w:eastAsia="SimSun"/>
            <w:sz w:val="21"/>
            <w:color w:val="000000"/>
            <w:u w:val="single"/>
          </w:rPr>
          <w:t>DOI: 10.56952/IGS-2023-0041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4. Zhu, H., Tang, X., Dusseault, M. B., and McLennan, J. D. 2022. What Can We Learn From the Child/Infill Well Fracturing in Shale Gas Reservoir? Some Interesting Insights. International Geomechanics Symposium. </w:t>
      </w:r>
      <w:hyperlink r:id="rId12">
        <w:r>
          <w:rPr>
            <w:rFonts w:ascii="Times New Roman" w:hAnsi="Times New Roman" w:eastAsia="SimSun"/>
            <w:sz w:val="21"/>
            <w:color w:val="000000"/>
            <w:u w:val="single"/>
          </w:rPr>
          <w:t>DOI: 10.56952/IGS-2022-106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5. Yang, X., Liu, D., Liu, S., et al. 2024. A Machine Learning-Based Multi-Scale Natural Fracture Characterization Approach Using Seismic Attributes in the Sichuan Basin. International Geomechanics Conference. </w:t>
      </w:r>
      <w:hyperlink r:id="rId13">
        <w:r>
          <w:rPr>
            <w:rFonts w:ascii="Times New Roman" w:hAnsi="Times New Roman" w:eastAsia="SimSun"/>
            <w:sz w:val="21"/>
            <w:color w:val="000000"/>
            <w:u w:val="single"/>
          </w:rPr>
          <w:t>DOI: 10.56952/IGS-2024-0491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6. Gao, Q., and Ghassemi, A. 2024. Poroelastic Effects in Analysis of Pore Pressure and Strain Around a 3D Propagating Hydraulic Fracture. </w:t>
      </w:r>
      <w:r>
        <w:rPr>
          <w:rFonts w:ascii="Times New Roman" w:hAnsi="Times New Roman" w:eastAsia="SimSun"/>
          <w:b w:val="0"/>
          <w:i/>
          <w:color w:val="000000"/>
          <w:sz w:val="21"/>
        </w:rPr>
        <w:t>SPE Journal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29(12):6962–6979. </w:t>
      </w:r>
      <w:hyperlink r:id="rId14">
        <w:r>
          <w:rPr>
            <w:rFonts w:ascii="Times New Roman" w:hAnsi="Times New Roman" w:eastAsia="SimSun"/>
            <w:sz w:val="21"/>
            <w:color w:val="000000"/>
            <w:u w:val="single"/>
          </w:rPr>
          <w:t>DOI: 10.2118/223610-PA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7. Ugueto, G., Wu, K., Jin, G., et al. 2023. A Catalogue of Fiber Optics Strain-Rate Fracture Driven Interactions. SPE Hydraulic Fracturing Technology Conference and Exhibition. </w:t>
      </w:r>
      <w:hyperlink r:id="rId15">
        <w:r>
          <w:rPr>
            <w:rFonts w:ascii="Times New Roman" w:hAnsi="Times New Roman" w:eastAsia="SimSun"/>
            <w:sz w:val="21"/>
            <w:color w:val="000000"/>
            <w:u w:val="single"/>
          </w:rPr>
          <w:t>DOI: 10.2118/212370-MS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8. Cai, Y., and Dahi Taleghani, A. 2022. Using pressure changes in offset wells for interpreting fracture driven interactions (FDI). </w:t>
      </w:r>
      <w:r>
        <w:rPr>
          <w:rFonts w:ascii="Times New Roman" w:hAnsi="Times New Roman" w:eastAsia="SimSun"/>
          <w:b w:val="0"/>
          <w:i/>
          <w:color w:val="000000"/>
          <w:sz w:val="21"/>
        </w:rPr>
        <w:t>Journal of Petroleum Science and Engineering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219:111111. </w:t>
      </w:r>
      <w:hyperlink r:id="rId16">
        <w:r>
          <w:rPr>
            <w:rFonts w:ascii="Times New Roman" w:hAnsi="Times New Roman" w:eastAsia="SimSun"/>
            <w:sz w:val="21"/>
            <w:color w:val="000000"/>
            <w:u w:val="single"/>
          </w:rPr>
          <w:t>DOI: 10.1016/j.petrol.2022.111111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9. Society of Petroleum Engineers. Publication Policies and Copyrights. 核查日期：2026-09-13. </w:t>
      </w:r>
      <w:hyperlink r:id="rId17">
        <w:r>
          <w:rPr>
            <w:rFonts w:ascii="Times New Roman" w:hAnsi="Times New Roman" w:eastAsia="SimSun"/>
            <w:sz w:val="21"/>
            <w:color w:val="000000"/>
            <w:u w:val="single"/>
          </w:rPr>
          <w:t>SPE 官方出版政策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10. Society of Petroleum Engineers. SPE Journals Consolidation: Scope and Section Descriptions. 核查日期：2026-09-13. </w:t>
      </w:r>
      <w:hyperlink r:id="rId18">
        <w:r>
          <w:rPr>
            <w:rFonts w:ascii="Times New Roman" w:hAnsi="Times New Roman" w:eastAsia="SimSun"/>
            <w:sz w:val="21"/>
            <w:color w:val="000000"/>
            <w:u w:val="single"/>
          </w:rPr>
          <w:t>SPEJ 官方范围说明</w:t>
        </w:r>
      </w:hyperlink>
    </w:p>
    <w:p>
      <w:pPr>
        <w:spacing w:line="260" w:lineRule="exact" w:after="140"/>
        <w:ind w:hanging="360" w:left="3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注：本轮文献认识主要依据可获得的原始论文摘要和出版社题录；Cai 等文献尚需取得方法全文后再采用具体判据。官方投稿途径另见 </w:t>
      </w:r>
      <w:hyperlink r:id="rId19">
        <w:r>
          <w:rPr>
            <w:rFonts w:ascii="Times New Roman" w:hAnsi="Times New Roman" w:eastAsia="SimSun"/>
            <w:sz w:val="21"/>
            <w:color w:val="000000"/>
            <w:u w:val="single"/>
          </w:rPr>
          <w:t>SPE 作者问答</w:t>
        </w:r>
      </w:hyperlink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；IGS 组织信息见 </w:t>
      </w:r>
      <w:hyperlink r:id="rId20">
        <w:r>
          <w:rPr>
            <w:rFonts w:ascii="Times New Roman" w:hAnsi="Times New Roman" w:eastAsia="SimSun"/>
            <w:sz w:val="21"/>
            <w:color w:val="000000"/>
            <w:u w:val="single"/>
          </w:rPr>
          <w:t>IGS 组织学会</w:t>
        </w:r>
      </w:hyperlink>
      <w:r>
        <w:rPr>
          <w:rFonts w:ascii="Times New Roman" w:hAnsi="Times New Roman" w:eastAsia="SimSun"/>
          <w:b w:val="0"/>
          <w:i w:val="0"/>
          <w:color w:val="000000"/>
          <w:sz w:val="21"/>
        </w:rPr>
        <w:t>。</w:t>
      </w:r>
    </w:p>
    <w:sectPr w:rsidR="00FC693F" w:rsidRPr="0006063C" w:rsidSect="00034616">
      <w:footerReference w:type="default" r:id="rId21"/>
      <w:pgSz w:w="12240" w:h="15840"/>
      <w:pgMar w:top="979" w:right="1080" w:bottom="979" w:left="1080" w:header="720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exact"/>
      <w:ind w:firstLine="480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440" w:lineRule="exact"/>
      <w:ind w:firstLine="0"/>
      <w:outlineLvl w:val="0"/>
    </w:pPr>
    <w:rPr>
      <w:rFonts w:ascii="Times New Roman" w:hAnsi="Times New Roman" w:eastAsia="SimSu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40" w:lineRule="exact"/>
      <w:ind w:firstLine="0"/>
      <w:outlineLvl w:val="1"/>
    </w:pPr>
    <w:rPr>
      <w:rFonts w:ascii="Times New Roman" w:hAnsi="Times New Roma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440" w:lineRule="exact"/>
      <w:ind w:firstLine="0"/>
      <w:outlineLvl w:val="2"/>
    </w:pPr>
    <w:rPr>
      <w:rFonts w:ascii="Times New Roman" w:hAnsi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520" w:lineRule="exact" w:before="0"/>
      <w:ind w:firstLine="0"/>
      <w:contextualSpacing/>
    </w:pPr>
    <w:rPr>
      <w:rFonts w:ascii="Times New Roman" w:hAnsi="Times New Roman" w:eastAsia="SimSu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360" w:lineRule="exact"/>
    </w:pPr>
    <w:rPr>
      <w:rFonts w:ascii="Times New Roman" w:hAnsi="Times New Roman" w:eastAsia="SimSu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360" w:lineRule="exact"/>
      <w:ind w:left="720"/>
      <w:contextualSpacing/>
    </w:pPr>
    <w:rPr>
      <w:rFonts w:ascii="Times New Roman" w:hAnsi="Times New Roman" w:eastAsia="SimSu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360" w:lineRule="exact"/>
      <w:ind w:firstLine="480"/>
    </w:pPr>
    <w:rPr>
      <w:rFonts w:ascii="Times New Roman" w:hAnsi="Times New Roman" w:eastAsia="SimSu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80" w:lineRule="exact" w:before="100" w:after="80"/>
      <w:ind w:firstLine="0"/>
    </w:pPr>
    <w:rPr>
      <w:rFonts w:ascii="Times New Roman" w:hAnsi="Times New Roman" w:eastAsia="SimSu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3390/pr13061785" TargetMode="External"/><Relationship Id="rId10" Type="http://schemas.openxmlformats.org/officeDocument/2006/relationships/hyperlink" Target="https://doi.org/10.3390/app14072927" TargetMode="External"/><Relationship Id="rId11" Type="http://schemas.openxmlformats.org/officeDocument/2006/relationships/hyperlink" Target="https://doi.org/10.56952/IGS-2023-0041" TargetMode="External"/><Relationship Id="rId12" Type="http://schemas.openxmlformats.org/officeDocument/2006/relationships/hyperlink" Target="https://doi.org/10.56952/IGS-2022-106" TargetMode="External"/><Relationship Id="rId13" Type="http://schemas.openxmlformats.org/officeDocument/2006/relationships/hyperlink" Target="https://doi.org/10.56952/IGS-2024-0491" TargetMode="External"/><Relationship Id="rId14" Type="http://schemas.openxmlformats.org/officeDocument/2006/relationships/hyperlink" Target="https://doi.org/10.2118/223610-PA" TargetMode="External"/><Relationship Id="rId15" Type="http://schemas.openxmlformats.org/officeDocument/2006/relationships/hyperlink" Target="https://doi.org/10.2118/212370-MS" TargetMode="External"/><Relationship Id="rId16" Type="http://schemas.openxmlformats.org/officeDocument/2006/relationships/hyperlink" Target="https://doi.org/10.1016/j.petrol.2022.111111" TargetMode="External"/><Relationship Id="rId17" Type="http://schemas.openxmlformats.org/officeDocument/2006/relationships/hyperlink" Target="https://www.spe.org/en/authors/policies/" TargetMode="External"/><Relationship Id="rId18" Type="http://schemas.openxmlformats.org/officeDocument/2006/relationships/hyperlink" Target="https://www.spe.org/en/publications/journal-consolidation/" TargetMode="External"/><Relationship Id="rId19" Type="http://schemas.openxmlformats.org/officeDocument/2006/relationships/hyperlink" Target="https://www.spe.org/en/authors/faq/" TargetMode="External"/><Relationship Id="rId20" Type="http://schemas.openxmlformats.org/officeDocument/2006/relationships/hyperlink" Target="https://www.igsevent.org/organizing-societies/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 Journal 后续研究思路与框架</dc:title>
  <dc:subject>深层页岩气邻井压力响应概率预警与独立验证</dc:subject>
  <dc:creator/>
  <cp:keywords>IGS; SPE Journal; offset-well pressure; early warning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