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16C0A" w14:textId="77777777" w:rsidR="00C919DB" w:rsidRPr="00C919DB" w:rsidRDefault="00C919DB" w:rsidP="00C919DB">
      <w:pPr>
        <w:keepNext/>
        <w:keepLines/>
        <w:spacing w:before="40" w:after="0" w:line="480" w:lineRule="auto"/>
        <w:outlineLvl w:val="1"/>
        <w:rPr>
          <w:rFonts w:ascii="Times New Roman" w:eastAsia="Times New Roman" w:hAnsi="Times New Roman" w:cs="Times New Roman"/>
          <w:b/>
          <w:szCs w:val="26"/>
        </w:rPr>
      </w:pPr>
      <w:bookmarkStart w:id="0" w:name="_Toc36115311"/>
      <w:r w:rsidRPr="00C919DB">
        <w:rPr>
          <w:rFonts w:ascii="Times New Roman" w:eastAsia="Times New Roman" w:hAnsi="Times New Roman" w:cs="Times New Roman"/>
          <w:b/>
          <w:szCs w:val="26"/>
        </w:rPr>
        <w:t>Methods</w:t>
      </w:r>
      <w:bookmarkEnd w:id="0"/>
    </w:p>
    <w:p w14:paraId="49CAB611" w14:textId="77777777" w:rsidR="00C919DB" w:rsidRPr="00C919DB" w:rsidRDefault="00C919DB" w:rsidP="00C919DB">
      <w:pPr>
        <w:keepNext/>
        <w:keepLines/>
        <w:spacing w:before="40" w:after="0" w:line="480" w:lineRule="auto"/>
        <w:outlineLvl w:val="2"/>
        <w:rPr>
          <w:rFonts w:ascii="Times New Roman" w:eastAsia="Times New Roman" w:hAnsi="Times New Roman" w:cs="Times New Roman"/>
          <w:b/>
          <w:bCs/>
          <w:i/>
          <w:szCs w:val="24"/>
        </w:rPr>
      </w:pPr>
      <w:bookmarkStart w:id="1" w:name="_Toc36115312"/>
      <w:r w:rsidRPr="00C919DB">
        <w:rPr>
          <w:rFonts w:ascii="Times New Roman" w:eastAsia="Times New Roman" w:hAnsi="Times New Roman" w:cs="Times New Roman"/>
          <w:b/>
          <w:bCs/>
          <w:i/>
          <w:szCs w:val="24"/>
        </w:rPr>
        <w:t>Census Surveys</w:t>
      </w:r>
      <w:bookmarkEnd w:id="1"/>
    </w:p>
    <w:p w14:paraId="00B77C87" w14:textId="77777777" w:rsidR="00C919DB" w:rsidRPr="00C919DB" w:rsidRDefault="00C919DB" w:rsidP="00C919DB">
      <w:pPr>
        <w:spacing w:after="0" w:line="480" w:lineRule="auto"/>
        <w:ind w:firstLine="720"/>
        <w:rPr>
          <w:rFonts w:ascii="Times New Roman" w:eastAsia="Calibri" w:hAnsi="Times New Roman" w:cs="Times New Roman"/>
        </w:rPr>
      </w:pPr>
      <w:r w:rsidRPr="00C919DB">
        <w:rPr>
          <w:rFonts w:ascii="Times New Roman" w:eastAsia="Calibri" w:hAnsi="Times New Roman" w:cs="Times New Roman"/>
        </w:rPr>
        <w:t xml:space="preserve">A suite of fisheries independent monitoring surveys employed by the South Carolina Department of Natural Resources (SCDNR) encounter the blue crab using methods that vary by survey (Table 1).  Surveys vary in their gear types, sampling regimes and microhabitats within the estuary.  Data from all surveys were subset from statewide to Charleston Harbor watershed (Ashley River, Cooper River, Wando River and Charleston Harbor) sites </w:t>
      </w:r>
      <w:commentRangeStart w:id="2"/>
      <w:r w:rsidRPr="00C919DB">
        <w:rPr>
          <w:rFonts w:ascii="Times New Roman" w:eastAsia="Calibri" w:hAnsi="Times New Roman" w:cs="Times New Roman"/>
        </w:rPr>
        <w:t xml:space="preserve">(Figure </w:t>
      </w:r>
      <w:commentRangeEnd w:id="2"/>
      <w:r w:rsidRPr="00C919DB">
        <w:rPr>
          <w:rFonts w:ascii="Times New Roman" w:eastAsia="Calibri" w:hAnsi="Times New Roman" w:cs="Times New Roman"/>
          <w:sz w:val="16"/>
          <w:szCs w:val="16"/>
        </w:rPr>
        <w:commentReference w:id="2"/>
      </w:r>
      <w:r w:rsidRPr="00C919DB">
        <w:rPr>
          <w:rFonts w:ascii="Times New Roman" w:eastAsia="Calibri" w:hAnsi="Times New Roman" w:cs="Times New Roman"/>
        </w:rPr>
        <w:t xml:space="preserve">).     </w:t>
      </w:r>
    </w:p>
    <w:p w14:paraId="1A30EC0F" w14:textId="77777777" w:rsidR="00C919DB" w:rsidRPr="00C919DB" w:rsidRDefault="00C919DB" w:rsidP="00C919DB">
      <w:pPr>
        <w:keepNext/>
        <w:keepLines/>
        <w:spacing w:before="40" w:after="0" w:line="480" w:lineRule="auto"/>
        <w:outlineLvl w:val="3"/>
        <w:rPr>
          <w:rFonts w:ascii="Times New Roman" w:eastAsia="Times New Roman" w:hAnsi="Times New Roman" w:cs="Times New Roman"/>
          <w:bCs/>
          <w:i/>
          <w:szCs w:val="24"/>
        </w:rPr>
      </w:pPr>
      <w:r w:rsidRPr="00C919DB">
        <w:rPr>
          <w:rFonts w:ascii="Times New Roman" w:eastAsia="Times New Roman" w:hAnsi="Times New Roman" w:cs="Times New Roman"/>
          <w:bCs/>
          <w:i/>
          <w:szCs w:val="24"/>
        </w:rPr>
        <w:t>CRMS Harbor Trawl</w:t>
      </w:r>
    </w:p>
    <w:p w14:paraId="61DCCAF3" w14:textId="6E070C03" w:rsidR="00C919DB" w:rsidRPr="00C919DB" w:rsidRDefault="00C919DB" w:rsidP="00C919DB">
      <w:pPr>
        <w:spacing w:after="0" w:line="480" w:lineRule="auto"/>
        <w:ind w:firstLine="720"/>
        <w:rPr>
          <w:rFonts w:ascii="Times New Roman" w:eastAsia="Calibri" w:hAnsi="Times New Roman" w:cs="Times New Roman"/>
        </w:rPr>
      </w:pPr>
      <w:r w:rsidRPr="00C919DB">
        <w:rPr>
          <w:rFonts w:ascii="Times New Roman" w:eastAsia="Calibri" w:hAnsi="Times New Roman" w:cs="Times New Roman"/>
        </w:rPr>
        <w:t xml:space="preserve">Monitoring </w:t>
      </w:r>
      <w:r w:rsidR="00F45C59">
        <w:rPr>
          <w:rFonts w:ascii="Times New Roman" w:eastAsia="Calibri" w:hAnsi="Times New Roman" w:cs="Times New Roman"/>
        </w:rPr>
        <w:t>i</w:t>
      </w:r>
      <w:r w:rsidRPr="00C919DB">
        <w:rPr>
          <w:rFonts w:ascii="Times New Roman" w:eastAsia="Calibri" w:hAnsi="Times New Roman" w:cs="Times New Roman"/>
        </w:rPr>
        <w:t>s been conducted monthly (1980-2018) at</w:t>
      </w:r>
      <w:r w:rsidR="00F45C59">
        <w:rPr>
          <w:rFonts w:ascii="Times New Roman" w:eastAsia="Calibri" w:hAnsi="Times New Roman" w:cs="Times New Roman"/>
        </w:rPr>
        <w:t xml:space="preserve"> four</w:t>
      </w:r>
      <w:r w:rsidRPr="00C919DB">
        <w:rPr>
          <w:rFonts w:ascii="Times New Roman" w:eastAsia="Calibri" w:hAnsi="Times New Roman" w:cs="Times New Roman"/>
        </w:rPr>
        <w:t xml:space="preserve"> fixed stations in the Ashley River (</w:t>
      </w:r>
      <w:r w:rsidR="00F45C59">
        <w:rPr>
          <w:rFonts w:ascii="Times New Roman" w:eastAsia="Calibri" w:hAnsi="Times New Roman" w:cs="Times New Roman"/>
        </w:rPr>
        <w:t>two</w:t>
      </w:r>
      <w:r w:rsidRPr="00C919DB">
        <w:rPr>
          <w:rFonts w:ascii="Times New Roman" w:eastAsia="Calibri" w:hAnsi="Times New Roman" w:cs="Times New Roman"/>
        </w:rPr>
        <w:t xml:space="preserve"> stations) and the Charleston Harbor (</w:t>
      </w:r>
      <w:r w:rsidR="00F45C59">
        <w:rPr>
          <w:rFonts w:ascii="Times New Roman" w:eastAsia="Calibri" w:hAnsi="Times New Roman" w:cs="Times New Roman"/>
        </w:rPr>
        <w:t>two</w:t>
      </w:r>
      <w:r w:rsidRPr="00C919DB">
        <w:rPr>
          <w:rFonts w:ascii="Times New Roman" w:eastAsia="Calibri" w:hAnsi="Times New Roman" w:cs="Times New Roman"/>
        </w:rPr>
        <w:t xml:space="preserve"> stations). Sites are located along the river continuum at a </w:t>
      </w:r>
      <w:r w:rsidR="00F45C59">
        <w:rPr>
          <w:rFonts w:ascii="Times New Roman" w:eastAsia="Calibri" w:hAnsi="Times New Roman" w:cs="Times New Roman"/>
        </w:rPr>
        <w:t xml:space="preserve">total </w:t>
      </w:r>
      <w:r w:rsidRPr="00C919DB">
        <w:rPr>
          <w:rFonts w:ascii="Times New Roman" w:eastAsia="Calibri" w:hAnsi="Times New Roman" w:cs="Times New Roman"/>
        </w:rPr>
        <w:t xml:space="preserve">distance of approximately 20 river km (Fig  ).  Beginning in 2002, gear type and sample times were standardized to one 6m (headrope length) otter trawl net with 2.54cm stretch mesh and tickler chain towed parallel to the shoreline near low tide for 15 minutes.  Trawls prior to 1986 were typically pulled for 30 minutes, with more tow time variation than in later years. All abundances were standardized to 15-minutes using the equation: </w:t>
      </w:r>
    </w:p>
    <w:p w14:paraId="6E62A6E7" w14:textId="77777777" w:rsidR="00C919DB" w:rsidRPr="00C919DB" w:rsidRDefault="00C919DB" w:rsidP="00C919DB">
      <w:pPr>
        <w:spacing w:after="0" w:line="480" w:lineRule="auto"/>
        <w:ind w:firstLine="720"/>
        <w:rPr>
          <w:rFonts w:ascii="Times New Roman" w:eastAsia="Calibri" w:hAnsi="Times New Roman" w:cs="Times New Roman"/>
        </w:rPr>
      </w:pPr>
      <m:oMathPara>
        <m:oMath>
          <m:r>
            <w:rPr>
              <w:rFonts w:ascii="Cambria Math" w:eastAsia="Calibri" w:hAnsi="Cambria Math" w:cs="Times New Roman"/>
            </w:rPr>
            <m:t>total abundance= observed abundance</m:t>
          </m:r>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15 (minutes)</m:t>
                  </m:r>
                </m:num>
                <m:den>
                  <m:r>
                    <w:rPr>
                      <w:rFonts w:ascii="Cambria Math" w:eastAsia="Calibri" w:hAnsi="Cambria Math" w:cs="Times New Roman"/>
                    </w:rPr>
                    <m:t>trawl time (minutes)</m:t>
                  </m:r>
                </m:den>
              </m:f>
            </m:e>
          </m:d>
        </m:oMath>
      </m:oMathPara>
    </w:p>
    <w:p w14:paraId="59A9CD2C" w14:textId="77777777" w:rsidR="00C919DB" w:rsidRPr="00C919DB" w:rsidRDefault="00C919DB" w:rsidP="00C919DB">
      <w:pPr>
        <w:spacing w:after="0" w:line="480" w:lineRule="auto"/>
        <w:rPr>
          <w:rFonts w:ascii="Times New Roman" w:eastAsia="Calibri" w:hAnsi="Times New Roman" w:cs="Times New Roman"/>
        </w:rPr>
      </w:pPr>
      <w:r w:rsidRPr="00C919DB">
        <w:rPr>
          <w:rFonts w:ascii="Times New Roman" w:eastAsia="Calibri" w:hAnsi="Times New Roman" w:cs="Times New Roman"/>
        </w:rPr>
        <w:t>Before 2002, 6m (head rope length) otter trawls with 4.76cm stretch mesh nets were towed from July through December.  Abundances taken from samples with a 2-net gear designation were standardized to a 1-net configuration using a regression calculation (r</w:t>
      </w:r>
      <w:r w:rsidRPr="00C919DB">
        <w:rPr>
          <w:rFonts w:ascii="Times New Roman" w:eastAsia="Calibri" w:hAnsi="Times New Roman" w:cs="Times New Roman"/>
          <w:vertAlign w:val="superscript"/>
        </w:rPr>
        <w:t>2</w:t>
      </w:r>
      <w:r w:rsidRPr="00C919DB">
        <w:rPr>
          <w:rFonts w:ascii="Times New Roman" w:eastAsia="Calibri" w:hAnsi="Times New Roman" w:cs="Times New Roman"/>
        </w:rPr>
        <w:t xml:space="preserve"> = 0.59) from an internal SCDNR publication </w:t>
      </w:r>
      <w:r w:rsidRPr="00C919DB">
        <w:rPr>
          <w:rFonts w:ascii="Times New Roman" w:eastAsia="Calibri" w:hAnsi="Times New Roman" w:cs="Times New Roman"/>
        </w:rPr>
        <w:fldChar w:fldCharType="begin" w:fldLock="1"/>
      </w:r>
      <w:r w:rsidRPr="00C919DB">
        <w:rPr>
          <w:rFonts w:ascii="Times New Roman" w:eastAsia="Calibri" w:hAnsi="Times New Roman" w:cs="Times New Roman"/>
        </w:rPr>
        <w:instrText>ADDIN CSL_CITATION {"citationItems":[{"id":"ITEM-1","itemData":{"author":[{"dropping-particle":"","family":"Wenner","given":"Elizabeth","non-dropping-particle":"","parse-names":false,"suffix":""},{"dropping-particle":"","family":"Delancey","given":"Larry","non-dropping-particle":"","parse-names":false,"suffix":""},{"dropping-particle":"","family":"Jenkins","given":"Jimmy","non-dropping-particle":"","parse-names":false,"suffix":""}],"id":"ITEM-1","issued":{"date-parts":[["2002"]]},"number-of-pages":"17","publisher-place":"Charleston, SC","title":"A Study to Evaluate Equivalence in Sampling Between Two Research Vessels","type":"report"},"uris":["http://www.mendeley.com/documents/?uuid=f6454b20-ec6e-4eab-9a2c-af41f05a0e03"]}],"mendeley":{"formattedCitation":"(Wenner et al. 2002)","plainTextFormattedCitation":"(Wenner et al. 2002)"},"properties":{"noteIndex":0},"schema":"https://github.com/citation-style-language/schema/raw/master/csl-citation.json"}</w:instrText>
      </w:r>
      <w:r w:rsidRPr="00C919DB">
        <w:rPr>
          <w:rFonts w:ascii="Times New Roman" w:eastAsia="Calibri" w:hAnsi="Times New Roman" w:cs="Times New Roman"/>
        </w:rPr>
        <w:fldChar w:fldCharType="separate"/>
      </w:r>
      <w:r w:rsidRPr="00C919DB">
        <w:rPr>
          <w:rFonts w:ascii="Times New Roman" w:eastAsia="Calibri" w:hAnsi="Times New Roman" w:cs="Times New Roman"/>
          <w:noProof/>
        </w:rPr>
        <w:t>(Wenner et al. 2002)</w:t>
      </w:r>
      <w:r w:rsidRPr="00C919DB">
        <w:rPr>
          <w:rFonts w:ascii="Times New Roman" w:eastAsia="Calibri" w:hAnsi="Times New Roman" w:cs="Times New Roman"/>
        </w:rPr>
        <w:fldChar w:fldCharType="end"/>
      </w:r>
      <w:r w:rsidRPr="00C919DB">
        <w:rPr>
          <w:rFonts w:ascii="Times New Roman" w:eastAsia="Calibri" w:hAnsi="Times New Roman" w:cs="Times New Roman"/>
        </w:rPr>
        <w:t xml:space="preserve">: </w:t>
      </w:r>
    </w:p>
    <w:p w14:paraId="6231087E" w14:textId="77777777" w:rsidR="00C919DB" w:rsidRPr="00C919DB" w:rsidRDefault="00C919DB" w:rsidP="00C919DB">
      <w:pPr>
        <w:spacing w:after="0" w:line="480" w:lineRule="auto"/>
        <w:ind w:firstLine="720"/>
        <w:rPr>
          <w:rFonts w:ascii="Times New Roman" w:eastAsia="Calibri" w:hAnsi="Times New Roman" w:cs="Times New Roman"/>
        </w:rPr>
      </w:pPr>
      <m:oMathPara>
        <m:oMath>
          <m:r>
            <w:rPr>
              <w:rFonts w:ascii="Cambria Math" w:eastAsia="Calibri" w:hAnsi="Cambria Math" w:cs="Times New Roman"/>
            </w:rPr>
            <m:t xml:space="preserve">total abundance= </m:t>
          </m:r>
          <m:d>
            <m:dPr>
              <m:ctrlPr>
                <w:rPr>
                  <w:rFonts w:ascii="Cambria Math" w:eastAsia="Calibri" w:hAnsi="Cambria Math" w:cs="Times New Roman"/>
                  <w:i/>
                </w:rPr>
              </m:ctrlPr>
            </m:dPr>
            <m:e>
              <m:r>
                <w:rPr>
                  <w:rFonts w:ascii="Cambria Math" w:eastAsia="Calibri" w:hAnsi="Cambria Math" w:cs="Times New Roman"/>
                </w:rPr>
                <m:t>1.13(observed abundance)</m:t>
              </m:r>
            </m:e>
          </m:d>
          <m:r>
            <w:rPr>
              <w:rFonts w:ascii="Cambria Math" w:eastAsia="Calibri" w:hAnsi="Cambria Math" w:cs="Times New Roman"/>
            </w:rPr>
            <m:t>+0.949</m:t>
          </m:r>
        </m:oMath>
      </m:oMathPara>
    </w:p>
    <w:p w14:paraId="0E1FBF1D" w14:textId="77777777" w:rsidR="00C919DB" w:rsidRPr="00C919DB" w:rsidRDefault="00C919DB" w:rsidP="00C919DB">
      <w:pPr>
        <w:spacing w:after="0" w:line="480" w:lineRule="auto"/>
        <w:rPr>
          <w:rFonts w:ascii="Times New Roman" w:eastAsia="Calibri" w:hAnsi="Times New Roman" w:cs="Times New Roman"/>
        </w:rPr>
      </w:pPr>
      <w:r w:rsidRPr="00C919DB">
        <w:rPr>
          <w:rFonts w:ascii="Times New Roman" w:eastAsia="Calibri" w:hAnsi="Times New Roman" w:cs="Times New Roman"/>
        </w:rPr>
        <w:t xml:space="preserve">Crabs were often subsampled prior to 2002, with total abundance numbers for these samples calculated using: </w:t>
      </w:r>
    </w:p>
    <w:p w14:paraId="72F3803E" w14:textId="77777777" w:rsidR="00C919DB" w:rsidRPr="00C919DB" w:rsidRDefault="00C919DB" w:rsidP="00C919DB">
      <w:pPr>
        <w:spacing w:after="0" w:line="480" w:lineRule="auto"/>
        <w:ind w:firstLine="720"/>
        <w:rPr>
          <w:rFonts w:ascii="Times New Roman" w:eastAsia="Times New Roman" w:hAnsi="Times New Roman" w:cs="Times New Roman"/>
        </w:rPr>
      </w:pPr>
      <m:oMathPara>
        <m:oMath>
          <m:r>
            <w:rPr>
              <w:rFonts w:ascii="Cambria Math" w:eastAsia="Calibri" w:hAnsi="Cambria Math" w:cs="Times New Roman"/>
            </w:rPr>
            <m:t xml:space="preserve">total abundance= </m:t>
          </m:r>
          <m:f>
            <m:fPr>
              <m:ctrlPr>
                <w:rPr>
                  <w:rFonts w:ascii="Cambria Math" w:eastAsia="Calibri" w:hAnsi="Cambria Math" w:cs="Times New Roman"/>
                  <w:i/>
                </w:rPr>
              </m:ctrlPr>
            </m:fPr>
            <m:num>
              <m:r>
                <w:rPr>
                  <w:rFonts w:ascii="Cambria Math" w:eastAsia="Calibri" w:hAnsi="Cambria Math" w:cs="Times New Roman"/>
                </w:rPr>
                <m:t>observed abundance(total sample weight)</m:t>
              </m:r>
            </m:num>
            <m:den>
              <m:r>
                <w:rPr>
                  <w:rFonts w:ascii="Cambria Math" w:eastAsia="Calibri" w:hAnsi="Cambria Math" w:cs="Times New Roman"/>
                </w:rPr>
                <m:t>subsample weight</m:t>
              </m:r>
            </m:den>
          </m:f>
        </m:oMath>
      </m:oMathPara>
    </w:p>
    <w:p w14:paraId="028BBA05" w14:textId="77777777" w:rsidR="00C919DB" w:rsidRPr="00C919DB" w:rsidRDefault="00C919DB" w:rsidP="00C919DB">
      <w:pPr>
        <w:spacing w:after="0" w:line="480" w:lineRule="auto"/>
        <w:rPr>
          <w:rFonts w:ascii="Times New Roman" w:eastAsia="Calibri" w:hAnsi="Times New Roman" w:cs="Times New Roman"/>
        </w:rPr>
      </w:pPr>
      <w:r w:rsidRPr="00C919DB">
        <w:rPr>
          <w:rFonts w:ascii="Times New Roman" w:eastAsia="Calibri" w:hAnsi="Times New Roman" w:cs="Times New Roman"/>
        </w:rPr>
        <w:lastRenderedPageBreak/>
        <w:t>CPUEs from the Harbor Trawl survey could have any of four standardization equations: 1) no standardization (observed abundance), 2) time-standardization to 15-minute tows, 3) weight standardization for sub-samples, or 4) gear standardization to a 2-net to 1-net gear type.</w:t>
      </w:r>
    </w:p>
    <w:p w14:paraId="456C1015" w14:textId="21F05408" w:rsidR="00C919DB" w:rsidRDefault="00C919DB" w:rsidP="00C919DB">
      <w:pPr>
        <w:keepNext/>
        <w:keepLines/>
        <w:spacing w:before="40" w:after="0" w:line="480" w:lineRule="auto"/>
        <w:outlineLvl w:val="3"/>
        <w:rPr>
          <w:rFonts w:ascii="Times New Roman" w:eastAsia="Times New Roman" w:hAnsi="Times New Roman" w:cs="Times New Roman"/>
          <w:bCs/>
          <w:i/>
          <w:szCs w:val="24"/>
        </w:rPr>
      </w:pPr>
      <w:r w:rsidRPr="00C919DB">
        <w:rPr>
          <w:rFonts w:ascii="Times New Roman" w:eastAsia="Times New Roman" w:hAnsi="Times New Roman" w:cs="Times New Roman"/>
          <w:bCs/>
          <w:i/>
          <w:szCs w:val="24"/>
        </w:rPr>
        <w:t xml:space="preserve">CRMS Creek Trawl </w:t>
      </w:r>
    </w:p>
    <w:p w14:paraId="1BD484C2" w14:textId="77777777" w:rsidR="00CE23FC" w:rsidRPr="00C919DB" w:rsidRDefault="00CE23FC" w:rsidP="00C919DB">
      <w:pPr>
        <w:keepNext/>
        <w:keepLines/>
        <w:spacing w:before="40" w:after="0" w:line="480" w:lineRule="auto"/>
        <w:outlineLvl w:val="3"/>
        <w:rPr>
          <w:rFonts w:ascii="Times New Roman" w:eastAsia="Times New Roman" w:hAnsi="Times New Roman" w:cs="Times New Roman"/>
          <w:bCs/>
          <w:i/>
          <w:szCs w:val="24"/>
        </w:rPr>
      </w:pPr>
    </w:p>
    <w:p w14:paraId="12E99F15" w14:textId="77777777" w:rsidR="00C919DB" w:rsidRPr="00C919DB" w:rsidRDefault="00C919DB" w:rsidP="00C919DB">
      <w:pPr>
        <w:keepNext/>
        <w:keepLines/>
        <w:spacing w:before="40" w:after="0" w:line="480" w:lineRule="auto"/>
        <w:outlineLvl w:val="2"/>
        <w:rPr>
          <w:rFonts w:ascii="Times New Roman" w:eastAsia="Times New Roman" w:hAnsi="Times New Roman" w:cs="Times New Roman"/>
          <w:b/>
          <w:bCs/>
          <w:i/>
          <w:szCs w:val="24"/>
        </w:rPr>
      </w:pPr>
      <w:bookmarkStart w:id="3" w:name="_Toc36115314"/>
      <w:r w:rsidRPr="00C919DB">
        <w:rPr>
          <w:rFonts w:ascii="Times New Roman" w:eastAsia="Times New Roman" w:hAnsi="Times New Roman" w:cs="Times New Roman"/>
          <w:b/>
          <w:bCs/>
          <w:i/>
          <w:szCs w:val="24"/>
        </w:rPr>
        <w:t xml:space="preserve">Size and Sexual Maturity </w:t>
      </w:r>
      <w:bookmarkEnd w:id="3"/>
      <w:r w:rsidRPr="00C919DB">
        <w:rPr>
          <w:rFonts w:ascii="Times New Roman" w:eastAsia="Times New Roman" w:hAnsi="Times New Roman" w:cs="Times New Roman"/>
          <w:b/>
          <w:bCs/>
          <w:i/>
          <w:szCs w:val="24"/>
        </w:rPr>
        <w:t>Explanatory Variables</w:t>
      </w:r>
    </w:p>
    <w:p w14:paraId="2788B189" w14:textId="66492747" w:rsidR="00C919DB" w:rsidRPr="00C919DB" w:rsidRDefault="00C919DB" w:rsidP="00C919DB">
      <w:pPr>
        <w:spacing w:after="0" w:line="480" w:lineRule="auto"/>
        <w:ind w:firstLine="720"/>
        <w:rPr>
          <w:rFonts w:ascii="Times New Roman" w:eastAsia="Calibri" w:hAnsi="Times New Roman" w:cs="Times New Roman"/>
        </w:rPr>
      </w:pPr>
      <w:r w:rsidRPr="00C919DB">
        <w:rPr>
          <w:rFonts w:ascii="Times New Roman" w:eastAsia="Calibri" w:hAnsi="Times New Roman" w:cs="Times New Roman"/>
        </w:rPr>
        <w:t>A range of biotic data (size, sex, maturity) are recorded as part of several surveys (Table 1).  The CRMS harbor and creek trawl surveys have data on size, sex and maturity.  The CRMS Potting survey has data on size and not sexual maturity, as these data are recorded in terms of legal (</w:t>
      </w:r>
      <w:r w:rsidRPr="00C919DB">
        <w:rPr>
          <w:rFonts w:ascii="Times New Roman" w:eastAsia="Calibri" w:hAnsi="Times New Roman" w:cs="Times New Roman"/>
          <w:u w:val="single"/>
        </w:rPr>
        <w:t>&gt;</w:t>
      </w:r>
      <w:r w:rsidRPr="00C919DB">
        <w:rPr>
          <w:rFonts w:ascii="Times New Roman" w:eastAsia="Calibri" w:hAnsi="Times New Roman" w:cs="Times New Roman"/>
        </w:rPr>
        <w:t xml:space="preserve">127 mm) and sublegal (&lt;127 mm) categories.  Gear employed as part of the potting survey (38mm mesh) is size selective, targeting legal-sized crab, and allows </w:t>
      </w:r>
      <w:r w:rsidR="00F45C59">
        <w:rPr>
          <w:rFonts w:ascii="Times New Roman" w:eastAsia="Calibri" w:hAnsi="Times New Roman" w:cs="Times New Roman"/>
        </w:rPr>
        <w:t xml:space="preserve">easy </w:t>
      </w:r>
      <w:r w:rsidRPr="00C919DB">
        <w:rPr>
          <w:rFonts w:ascii="Times New Roman" w:eastAsia="Calibri" w:hAnsi="Times New Roman" w:cs="Times New Roman"/>
        </w:rPr>
        <w:t xml:space="preserve">escape of juveniles who have a length to width ratio of about 1:2 </w:t>
      </w:r>
      <w:r w:rsidRPr="00C919DB">
        <w:rPr>
          <w:rFonts w:ascii="Times New Roman" w:eastAsia="Calibri" w:hAnsi="Times New Roman" w:cs="Times New Roman"/>
        </w:rPr>
        <w:fldChar w:fldCharType="begin" w:fldLock="1"/>
      </w:r>
      <w:r w:rsidRPr="00C919DB">
        <w:rPr>
          <w:rFonts w:ascii="Times New Roman" w:eastAsia="Calibri" w:hAnsi="Times New Roman" w:cs="Times New Roman"/>
        </w:rPr>
        <w:instrText>ADDIN CSL_CITATION {"citationItems":[{"id":"ITEM-1","itemData":{"abstract":"Relative growth was studied by holding juveniles (20-139 mm. wide) in anchored f1oat-s. The floats were at two location_one in salt water and one in fresh water. Molt intervals were similar at both sites, but the average growth was generally more per molt in salt water. From April to mi~-November, the mean molt interval was 11 days for crabs 20 to 29 mm. wide; it increased to 41 days for crabs of 130 to 139 mm. Frequency of molting decreased in winter, but most juveniles 20 to 59 mm. wide molted two or three times. Growth increments per molt varied from 7.8 to 50 percent. Mean increment, by IO-mm. width groups, was 20.9 to 34.2 percent. Estimates of increase in width with age indicate that most blue crabs in the St. Johns River reach harvestable size (width of 120 mm.) within 1 year after hatching.","author":[{"dropping-particle":"","family":"Tagatz","given":"Marlin E.","non-dropping-particle":"","parse-names":false,"suffix":""}],"id":"ITEM-1","issue":"2","issued":{"date-parts":[["1968"]]},"number-of-pages":"281-288","publisher-place":"Beaufort, NC","title":"Tagatz, Marlin E. \"Growth of juvenile blue crabs, Callinectes sapidus Rathbun, in the St. Johns River, Florida","type":"report","volume":"67"},"uris":["http://www.mendeley.com/documents/?uuid=08340873-3b2e-4211-92ec-27d06f7d1f25"]}],"mendeley":{"formattedCitation":"(Tagatz 1968)","plainTextFormattedCitation":"(Tagatz 1968)","previouslyFormattedCitation":"(Tagatz 1968)"},"properties":{"noteIndex":0},"schema":"https://github.com/citation-style-language/schema/raw/master/csl-citation.json"}</w:instrText>
      </w:r>
      <w:r w:rsidRPr="00C919DB">
        <w:rPr>
          <w:rFonts w:ascii="Times New Roman" w:eastAsia="Calibri" w:hAnsi="Times New Roman" w:cs="Times New Roman"/>
        </w:rPr>
        <w:fldChar w:fldCharType="separate"/>
      </w:r>
      <w:r w:rsidRPr="00C919DB">
        <w:rPr>
          <w:rFonts w:ascii="Times New Roman" w:eastAsia="Calibri" w:hAnsi="Times New Roman" w:cs="Times New Roman"/>
          <w:noProof/>
        </w:rPr>
        <w:t>(Tagatz 1968)</w:t>
      </w:r>
      <w:r w:rsidRPr="00C919DB">
        <w:rPr>
          <w:rFonts w:ascii="Times New Roman" w:eastAsia="Calibri" w:hAnsi="Times New Roman" w:cs="Times New Roman"/>
        </w:rPr>
        <w:fldChar w:fldCharType="end"/>
      </w:r>
      <w:r w:rsidRPr="00C919DB">
        <w:rPr>
          <w:rFonts w:ascii="Times New Roman" w:eastAsia="Calibri" w:hAnsi="Times New Roman" w:cs="Times New Roman"/>
        </w:rPr>
        <w:t>.  Size data are recoded as part of the SCECAP suite of surveys, but this survey’s data are rounded to the nearest centimeter in contrast to all other survey size data which are expressed in millimeters.  Sexual maturity data are not recorded as part of the SCECAP suite of surveys</w:t>
      </w:r>
      <w:r w:rsidR="0088491A">
        <w:rPr>
          <w:rFonts w:ascii="Times New Roman" w:eastAsia="Calibri" w:hAnsi="Times New Roman" w:cs="Times New Roman"/>
        </w:rPr>
        <w:t>, although sex data for individuals is recoded</w:t>
      </w:r>
      <w:r w:rsidRPr="00C919DB">
        <w:rPr>
          <w:rFonts w:ascii="Times New Roman" w:eastAsia="Calibri" w:hAnsi="Times New Roman" w:cs="Times New Roman"/>
        </w:rPr>
        <w:t>.  The trammel net survey has no size, sex or maturity data - only total abundance data per net deployment</w:t>
      </w:r>
      <w:r w:rsidR="0088491A">
        <w:rPr>
          <w:rFonts w:ascii="Times New Roman" w:eastAsia="Calibri" w:hAnsi="Times New Roman" w:cs="Times New Roman"/>
        </w:rPr>
        <w:t xml:space="preserve">.  </w:t>
      </w:r>
    </w:p>
    <w:p w14:paraId="420FA47E" w14:textId="1DFE30A7" w:rsidR="00C919DB" w:rsidRPr="00C919DB" w:rsidRDefault="00C919DB" w:rsidP="00C919DB">
      <w:pPr>
        <w:spacing w:after="0" w:line="480" w:lineRule="auto"/>
        <w:ind w:firstLine="720"/>
        <w:rPr>
          <w:rFonts w:ascii="Times New Roman" w:eastAsia="Calibri" w:hAnsi="Times New Roman" w:cs="Times New Roman"/>
        </w:rPr>
      </w:pPr>
      <w:r w:rsidRPr="00C919DB">
        <w:rPr>
          <w:rFonts w:ascii="Times New Roman" w:eastAsia="Calibri" w:hAnsi="Times New Roman" w:cs="Times New Roman"/>
        </w:rPr>
        <w:t xml:space="preserve">Individual crabs were assigned to the following size and sexual maturity categories (Table 1): </w:t>
      </w:r>
      <w:commentRangeStart w:id="4"/>
      <w:r w:rsidRPr="00C919DB">
        <w:rPr>
          <w:rFonts w:ascii="Times New Roman" w:eastAsia="Calibri" w:hAnsi="Times New Roman" w:cs="Times New Roman"/>
        </w:rPr>
        <w:t>Size Classes - juvenile (</w:t>
      </w:r>
      <w:r w:rsidRPr="00C919DB">
        <w:rPr>
          <w:rFonts w:ascii="Times New Roman" w:eastAsia="Calibri" w:hAnsi="Times New Roman" w:cs="Times New Roman"/>
          <w:u w:val="single"/>
        </w:rPr>
        <w:t>&lt;</w:t>
      </w:r>
      <w:r w:rsidRPr="00C919DB">
        <w:rPr>
          <w:rFonts w:ascii="Times New Roman" w:eastAsia="Calibri" w:hAnsi="Times New Roman" w:cs="Times New Roman"/>
        </w:rPr>
        <w:t xml:space="preserve">60mm), subadult (61mm - 126mm), sublegal (&lt;127mm) and adult (&gt;126mm); Sexual maturity classes -  mature female, immature female, mature male, and immature male.  </w:t>
      </w:r>
      <w:commentRangeEnd w:id="4"/>
      <w:r w:rsidRPr="00C919DB">
        <w:rPr>
          <w:rFonts w:ascii="Times New Roman" w:eastAsia="Calibri" w:hAnsi="Times New Roman" w:cs="Times New Roman"/>
          <w:sz w:val="16"/>
          <w:szCs w:val="16"/>
        </w:rPr>
        <w:commentReference w:id="4"/>
      </w:r>
      <w:r w:rsidRPr="00C919DB">
        <w:rPr>
          <w:rFonts w:ascii="Times New Roman" w:eastAsia="Calibri" w:hAnsi="Times New Roman" w:cs="Times New Roman"/>
        </w:rPr>
        <w:t xml:space="preserve"> Sex and maturity were determined by </w:t>
      </w:r>
      <w:commentRangeStart w:id="5"/>
      <w:r w:rsidRPr="00C919DB">
        <w:rPr>
          <w:rFonts w:ascii="Times New Roman" w:eastAsia="Calibri" w:hAnsi="Times New Roman" w:cs="Times New Roman"/>
        </w:rPr>
        <w:t xml:space="preserve">presence of morphological characteristics </w:t>
      </w:r>
      <w:commentRangeEnd w:id="5"/>
      <w:r w:rsidR="00290106">
        <w:rPr>
          <w:rStyle w:val="CommentReference"/>
          <w:rFonts w:ascii="Times New Roman" w:eastAsia="Calibri" w:hAnsi="Times New Roman" w:cs="Times New Roman"/>
        </w:rPr>
        <w:commentReference w:id="5"/>
      </w:r>
      <w:r w:rsidRPr="00C919DB">
        <w:rPr>
          <w:rFonts w:ascii="Times New Roman" w:eastAsia="Calibri" w:hAnsi="Times New Roman" w:cs="Times New Roman"/>
        </w:rPr>
        <w:t xml:space="preserve">of the abdomen as observed in situ.  Size was determined by measurement of the carapace width in situ, from tip to tip.  The juvenile size class of crab (&lt;60mm carapace width) is based-on a trophic level shift in diet occurring in crab &gt;60 mm carapace width </w:t>
      </w:r>
      <w:r w:rsidRPr="00C919DB">
        <w:rPr>
          <w:rFonts w:ascii="Times New Roman" w:eastAsia="Calibri" w:hAnsi="Times New Roman" w:cs="Times New Roman"/>
        </w:rPr>
        <w:fldChar w:fldCharType="begin" w:fldLock="1"/>
      </w:r>
      <w:r w:rsidRPr="00C919DB">
        <w:rPr>
          <w:rFonts w:ascii="Times New Roman" w:eastAsia="Calibri" w:hAnsi="Times New Roman" w:cs="Times New Roman"/>
        </w:rPr>
        <w:instrText>ADDIN CSL_CITATION {"citationItems":[{"id":"ITEM-1","itemData":{"author":[{"dropping-particle":"","family":"Pattillo","given":"Mark E.","non-dropping-particle":"","parse-names":false,"suffix":""},{"dropping-particle":"","family":"Czapla","given":"Thomas E.","non-dropping-particle":"","parse-names":false,"suffix":""},{"dropping-particle":"","family":"Nelson","given":"David M.","non-dropping-particle":"","parse-names":false,"suffix":""},{"dropping-particle":"","family":"Monaco","given":"Mark E.","non-dropping-particle":"","parse-names":false,"suffix":""}],"id":"ITEM-1","issued":{"date-parts":[["1997"]]},"number-of-pages":"377","publisher-place":"Silver Spring, MD","title":"Distribution and Abundance of Fishes and Invertabrates in Gulf of Mexico Estuaries Volume II: SpeciOceanic, Nationales Life History Summaries","type":"report","volume":"ELM Rep. N"},"uris":["http://www.mendeley.com/documents/?uuid=3b6a0cac-027e-45bd-bde8-37cc8ab1e02b"]},{"id":"ITEM-2","itemData":{"author":[{"dropping-particle":"","family":"Laughlin","given":"Roger A","non-dropping-particle":"","parse-names":false,"suffix":""}],"container-title":"Bulletin of Marine Science","id":"ITEM-2","issue":"4","issued":{"date-parts":[["1982"]]},"page":"807-822","title":"Feeding Habitats of the blue crab, Callinectes sapidus Rathbun, in the Apalachicola Estuary, Florida","type":"article-journal","volume":"32"},"uris":["http://www.mendeley.com/documents/?uuid=d1eeb758-9766-4db7-9a31-f1d9e0d1caaa"]}],"mendeley":{"formattedCitation":"(Laughlin 1982; Pattillo et al. 1997)","plainTextFormattedCitation":"(Laughlin 1982; Pattillo et al. 1997)","previouslyFormattedCitation":"(Laughlin 1982; Pattillo et al. 1997)"},"properties":{"noteIndex":0},"schema":"https://github.com/citation-style-language/schema/raw/master/csl-citation.json"}</w:instrText>
      </w:r>
      <w:r w:rsidRPr="00C919DB">
        <w:rPr>
          <w:rFonts w:ascii="Times New Roman" w:eastAsia="Calibri" w:hAnsi="Times New Roman" w:cs="Times New Roman"/>
        </w:rPr>
        <w:fldChar w:fldCharType="separate"/>
      </w:r>
      <w:r w:rsidRPr="00C919DB">
        <w:rPr>
          <w:rFonts w:ascii="Times New Roman" w:eastAsia="Calibri" w:hAnsi="Times New Roman" w:cs="Times New Roman"/>
          <w:noProof/>
        </w:rPr>
        <w:t>(Laughlin 1982; Pattillo et al. 1997)</w:t>
      </w:r>
      <w:r w:rsidRPr="00C919DB">
        <w:rPr>
          <w:rFonts w:ascii="Times New Roman" w:eastAsia="Calibri" w:hAnsi="Times New Roman" w:cs="Times New Roman"/>
        </w:rPr>
        <w:fldChar w:fldCharType="end"/>
      </w:r>
      <w:r w:rsidRPr="00C919DB">
        <w:rPr>
          <w:rFonts w:ascii="Times New Roman" w:eastAsia="Calibri" w:hAnsi="Times New Roman" w:cs="Times New Roman"/>
        </w:rPr>
        <w:t>.  The adult size class used (</w:t>
      </w:r>
      <w:r w:rsidRPr="00C919DB">
        <w:rPr>
          <w:rFonts w:ascii="Times New Roman" w:eastAsia="Calibri" w:hAnsi="Times New Roman" w:cs="Times New Roman"/>
          <w:u w:val="single"/>
        </w:rPr>
        <w:t>&gt;</w:t>
      </w:r>
      <w:r w:rsidRPr="00C919DB">
        <w:rPr>
          <w:rFonts w:ascii="Times New Roman" w:eastAsia="Calibri" w:hAnsi="Times New Roman" w:cs="Times New Roman"/>
        </w:rPr>
        <w:t xml:space="preserve">127 mm carapace width) represents the legal-size limit for entry into the fishery in South Carolina.  All crab with carapace widths </w:t>
      </w:r>
      <w:r w:rsidRPr="00C919DB">
        <w:rPr>
          <w:rFonts w:ascii="Times New Roman" w:eastAsia="Calibri" w:hAnsi="Times New Roman" w:cs="Times New Roman"/>
        </w:rPr>
        <w:lastRenderedPageBreak/>
        <w:t xml:space="preserve">between juvenile and adult sizes were considered subadult.  Sublegal, when used, includes all crab &lt;127mm.  </w:t>
      </w:r>
    </w:p>
    <w:p w14:paraId="6D2659CD" w14:textId="01C4AB3E" w:rsidR="00C919DB" w:rsidRPr="00C919DB" w:rsidRDefault="00C919DB" w:rsidP="00C919DB">
      <w:pPr>
        <w:spacing w:after="0" w:line="480" w:lineRule="auto"/>
        <w:ind w:firstLine="720"/>
        <w:rPr>
          <w:rFonts w:ascii="Times New Roman" w:eastAsia="Calibri" w:hAnsi="Times New Roman" w:cs="Times New Roman"/>
        </w:rPr>
      </w:pPr>
      <w:commentRangeStart w:id="6"/>
      <w:r w:rsidRPr="00C919DB">
        <w:rPr>
          <w:rFonts w:ascii="Times New Roman" w:eastAsia="Calibri" w:hAnsi="Times New Roman" w:cs="Times New Roman"/>
        </w:rPr>
        <w:t xml:space="preserve">CPUEs for size and sexual maturity variables were calculated by creating a percentage of total catch </w:t>
      </w:r>
      <w:r w:rsidR="003A5A01">
        <w:rPr>
          <w:rFonts w:ascii="Times New Roman" w:eastAsia="Calibri" w:hAnsi="Times New Roman" w:cs="Times New Roman"/>
        </w:rPr>
        <w:t xml:space="preserve">of each sexual maturity class </w:t>
      </w:r>
      <w:r w:rsidRPr="00C919DB">
        <w:rPr>
          <w:rFonts w:ascii="Times New Roman" w:eastAsia="Calibri" w:hAnsi="Times New Roman" w:cs="Times New Roman"/>
        </w:rPr>
        <w:t xml:space="preserve">for each sampling event (e.g., trawl, trammel set, or pot set).  These percentages were then applied to the standardized total CPUE for the sampling </w:t>
      </w:r>
      <w:commentRangeStart w:id="7"/>
      <w:r w:rsidRPr="00C919DB">
        <w:rPr>
          <w:rFonts w:ascii="Times New Roman" w:eastAsia="Calibri" w:hAnsi="Times New Roman" w:cs="Times New Roman"/>
        </w:rPr>
        <w:t>event</w:t>
      </w:r>
      <w:commentRangeEnd w:id="7"/>
      <w:r>
        <w:rPr>
          <w:rStyle w:val="CommentReference"/>
          <w:rFonts w:ascii="Times New Roman" w:eastAsia="Calibri" w:hAnsi="Times New Roman" w:cs="Times New Roman"/>
        </w:rPr>
        <w:commentReference w:id="7"/>
      </w:r>
      <w:r w:rsidRPr="00C919DB">
        <w:rPr>
          <w:rFonts w:ascii="Times New Roman" w:eastAsia="Calibri" w:hAnsi="Times New Roman" w:cs="Times New Roman"/>
        </w:rPr>
        <w:t>.  Sexual maturity CPUE variables are conservative estimates because some individuals were categorized as unidentifiable.</w:t>
      </w:r>
      <w:commentRangeEnd w:id="6"/>
      <w:r w:rsidR="003A5A01">
        <w:rPr>
          <w:rStyle w:val="CommentReference"/>
          <w:rFonts w:ascii="Times New Roman" w:eastAsia="Calibri" w:hAnsi="Times New Roman" w:cs="Times New Roman"/>
        </w:rPr>
        <w:commentReference w:id="6"/>
      </w:r>
      <w:r w:rsidRPr="00C919DB">
        <w:rPr>
          <w:rFonts w:ascii="Times New Roman" w:eastAsia="Calibri" w:hAnsi="Times New Roman" w:cs="Times New Roman"/>
        </w:rPr>
        <w:t xml:space="preserve">    </w:t>
      </w:r>
    </w:p>
    <w:p w14:paraId="3E4434B0" w14:textId="77777777" w:rsidR="00032F01" w:rsidRDefault="00290106"/>
    <w:sectPr w:rsidR="00032F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ephen Czwartacki" w:date="2020-04-09T09:11:00Z" w:initials="SC">
    <w:p w14:paraId="5DB1CD4C" w14:textId="77777777" w:rsidR="00C919DB" w:rsidRDefault="00C919DB" w:rsidP="00C919DB">
      <w:pPr>
        <w:pStyle w:val="CommentText"/>
      </w:pPr>
      <w:r>
        <w:rPr>
          <w:rStyle w:val="CommentReference"/>
        </w:rPr>
        <w:annotationRef/>
      </w:r>
      <w:r>
        <w:t>Map of all sites?</w:t>
      </w:r>
    </w:p>
  </w:comment>
  <w:comment w:id="4" w:author="Michael R. Kendrick" w:date="2020-03-31T12:48:00Z" w:initials="MRK">
    <w:p w14:paraId="734FFA1E" w14:textId="77777777" w:rsidR="00C919DB" w:rsidRDefault="00C919DB" w:rsidP="00C919DB">
      <w:pPr>
        <w:pStyle w:val="CommentText"/>
      </w:pPr>
      <w:r>
        <w:rPr>
          <w:rStyle w:val="CommentReference"/>
        </w:rPr>
        <w:annotationRef/>
      </w:r>
      <w:r>
        <w:t>Describe how size and sex were calculated, e.g., carapace width and morphological indicators of sexual maturity.</w:t>
      </w:r>
    </w:p>
  </w:comment>
  <w:comment w:id="5" w:author="Stephen Czwartacki [2]" w:date="2020-04-10T11:55:00Z" w:initials="SC">
    <w:p w14:paraId="7476E9EF" w14:textId="7B074C76" w:rsidR="00290106" w:rsidRDefault="00290106">
      <w:pPr>
        <w:pStyle w:val="CommentText"/>
      </w:pPr>
      <w:r>
        <w:rPr>
          <w:rStyle w:val="CommentReference"/>
        </w:rPr>
        <w:annotationRef/>
      </w:r>
      <w:r>
        <w:t>Elaboration needed?</w:t>
      </w:r>
    </w:p>
  </w:comment>
  <w:comment w:id="7" w:author="Stephen Czwartacki [2]" w:date="2020-04-10T11:20:00Z" w:initials="SC">
    <w:p w14:paraId="69C05A99" w14:textId="6C6F5AE2" w:rsidR="00C919DB" w:rsidRDefault="00C919DB">
      <w:pPr>
        <w:pStyle w:val="CommentText"/>
      </w:pPr>
      <w:r>
        <w:rPr>
          <w:rStyle w:val="CommentReference"/>
        </w:rPr>
        <w:annotationRef/>
      </w:r>
      <w:r>
        <w:t>Equation here?</w:t>
      </w:r>
    </w:p>
  </w:comment>
  <w:comment w:id="6" w:author="Stephen Czwartacki [2]" w:date="2020-04-10T11:24:00Z" w:initials="SC">
    <w:p w14:paraId="2869B35E" w14:textId="4EAE0A3E" w:rsidR="003A5A01" w:rsidRDefault="003A5A01">
      <w:pPr>
        <w:pStyle w:val="CommentText"/>
      </w:pPr>
      <w:r>
        <w:rPr>
          <w:rStyle w:val="CommentReference"/>
        </w:rPr>
        <w:annotationRef/>
      </w:r>
      <w:r>
        <w:t>This paragraph is still rudimentary and SC edits and more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B1CD4C" w15:done="0"/>
  <w15:commentEx w15:paraId="734FFA1E" w15:done="0"/>
  <w15:commentEx w15:paraId="7476E9EF" w15:done="0"/>
  <w15:commentEx w15:paraId="69C05A99" w15:done="0"/>
  <w15:commentEx w15:paraId="2869B3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AD486" w16cex:dateUtc="2020-04-10T15:18:00Z"/>
  <w16cex:commentExtensible w16cex:durableId="223AD4DD" w16cex:dateUtc="2020-04-10T15:19:00Z"/>
  <w16cex:commentExtensible w16cex:durableId="223ADD36" w16cex:dateUtc="2020-04-10T15:55:00Z"/>
  <w16cex:commentExtensible w16cex:durableId="223AD4F6" w16cex:dateUtc="2020-04-10T15:20:00Z"/>
  <w16cex:commentExtensible w16cex:durableId="223AD5E9" w16cex:dateUtc="2020-04-10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B1CD4C" w16cid:durableId="223AD486"/>
  <w16cid:commentId w16cid:paraId="734FFA1E" w16cid:durableId="223AD4DD"/>
  <w16cid:commentId w16cid:paraId="7476E9EF" w16cid:durableId="223ADD36"/>
  <w16cid:commentId w16cid:paraId="69C05A99" w16cid:durableId="223AD4F6"/>
  <w16cid:commentId w16cid:paraId="2869B35E" w16cid:durableId="223AD5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phen Czwartacki">
    <w15:presenceInfo w15:providerId="Windows Live" w15:userId="aa6b0e14f41cb9a9"/>
  </w15:person>
  <w15:person w15:author="Michael R. Kendrick">
    <w15:presenceInfo w15:providerId="AD" w15:userId="S::KendrickM@dnr.sc.gov::30b04d64-a2e5-4722-8262-3a462d0e6b81"/>
  </w15:person>
  <w15:person w15:author="Stephen Czwartacki [2]">
    <w15:presenceInfo w15:providerId="AD" w15:userId="S::CzwartackiS@dnr.sc.gov::e3f2c0a0-a280-448b-8203-b952f595c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DB"/>
    <w:rsid w:val="00290106"/>
    <w:rsid w:val="003A5A01"/>
    <w:rsid w:val="00652060"/>
    <w:rsid w:val="0088491A"/>
    <w:rsid w:val="00C919DB"/>
    <w:rsid w:val="00CE23FC"/>
    <w:rsid w:val="00F45C59"/>
    <w:rsid w:val="00FF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F2EA"/>
  <w15:chartTrackingRefBased/>
  <w15:docId w15:val="{897E0936-5F05-4A26-B4B9-C894B649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C919DB"/>
    <w:pPr>
      <w:spacing w:after="0" w:line="240" w:lineRule="auto"/>
      <w:ind w:firstLine="720"/>
    </w:pPr>
    <w:rPr>
      <w:rFonts w:ascii="Times New Roman" w:eastAsia="Calibri" w:hAnsi="Times New Roman" w:cs="Times New Roman"/>
      <w:sz w:val="20"/>
      <w:szCs w:val="20"/>
    </w:rPr>
  </w:style>
  <w:style w:type="character" w:customStyle="1" w:styleId="CommentTextChar">
    <w:name w:val="Comment Text Char"/>
    <w:basedOn w:val="DefaultParagraphFont"/>
    <w:link w:val="CommentText"/>
    <w:uiPriority w:val="99"/>
    <w:semiHidden/>
    <w:rsid w:val="00C919DB"/>
    <w:rPr>
      <w:rFonts w:ascii="Times New Roman" w:eastAsia="Calibri" w:hAnsi="Times New Roman" w:cs="Times New Roman"/>
      <w:sz w:val="20"/>
      <w:szCs w:val="20"/>
    </w:rPr>
  </w:style>
  <w:style w:type="character" w:styleId="CommentReference">
    <w:name w:val="annotation reference"/>
    <w:basedOn w:val="DefaultParagraphFont"/>
    <w:uiPriority w:val="99"/>
    <w:semiHidden/>
    <w:unhideWhenUsed/>
    <w:rsid w:val="00C919DB"/>
    <w:rPr>
      <w:sz w:val="16"/>
      <w:szCs w:val="16"/>
    </w:rPr>
  </w:style>
  <w:style w:type="paragraph" w:styleId="BalloonText">
    <w:name w:val="Balloon Text"/>
    <w:basedOn w:val="Normal"/>
    <w:link w:val="BalloonTextChar"/>
    <w:uiPriority w:val="99"/>
    <w:semiHidden/>
    <w:unhideWhenUsed/>
    <w:rsid w:val="00C919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9D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919DB"/>
    <w:pPr>
      <w:spacing w:after="160"/>
      <w:ind w:firstLine="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919DB"/>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790879">
      <w:bodyDiv w:val="1"/>
      <w:marLeft w:val="0"/>
      <w:marRight w:val="0"/>
      <w:marTop w:val="0"/>
      <w:marBottom w:val="0"/>
      <w:divBdr>
        <w:top w:val="none" w:sz="0" w:space="0" w:color="auto"/>
        <w:left w:val="none" w:sz="0" w:space="0" w:color="auto"/>
        <w:bottom w:val="none" w:sz="0" w:space="0" w:color="auto"/>
        <w:right w:val="none" w:sz="0" w:space="0" w:color="auto"/>
      </w:divBdr>
    </w:div>
    <w:div w:id="1608543244">
      <w:bodyDiv w:val="1"/>
      <w:marLeft w:val="0"/>
      <w:marRight w:val="0"/>
      <w:marTop w:val="0"/>
      <w:marBottom w:val="0"/>
      <w:divBdr>
        <w:top w:val="none" w:sz="0" w:space="0" w:color="auto"/>
        <w:left w:val="none" w:sz="0" w:space="0" w:color="auto"/>
        <w:bottom w:val="none" w:sz="0" w:space="0" w:color="auto"/>
        <w:right w:val="none" w:sz="0" w:space="0" w:color="auto"/>
      </w:divBdr>
    </w:div>
    <w:div w:id="206139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Czwartacki</dc:creator>
  <cp:keywords/>
  <dc:description/>
  <cp:lastModifiedBy>Stephen Czwartacki</cp:lastModifiedBy>
  <cp:revision>5</cp:revision>
  <dcterms:created xsi:type="dcterms:W3CDTF">2020-04-10T15:18:00Z</dcterms:created>
  <dcterms:modified xsi:type="dcterms:W3CDTF">2020-04-10T15:56:00Z</dcterms:modified>
</cp:coreProperties>
</file>