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爱特蜂中医注释系统（AiTcmFun）商业计划书</w:t>
      </w:r>
    </w:p>
    <w:p>
      <w:pPr>
        <w:pStyle w:val="IntenseQuote"/>
      </w:pPr>
      <w:r>
        <w:t>以AI唤醒中医的千年智慧</w:t>
        <w:br/>
        <w:t>——让复杂变简单，让传统变智能</w:t>
      </w:r>
    </w:p>
    <w:p>
      <w:pPr>
        <w:pStyle w:val="Heading1"/>
      </w:pPr>
      <w:r>
        <w:t>执行摘要</w:t>
      </w:r>
    </w:p>
    <w:p>
      <w:r>
        <w:t>AiTcmFun是一款将《易经》哲理结构与人工智能大模型（Gemma3）融合，解决中医典籍晦涩难懂问题的创新型中医AI平台。以注释理解、智能问答、知识图谱和实时提醒为核心功能，赋能中医学学习、基层临床与公众健康。</w:t>
      </w:r>
    </w:p>
    <w:p>
      <w:pPr>
        <w:pStyle w:val="Heading1"/>
      </w:pPr>
      <w:r>
        <w:t>项目背景与问题定义</w:t>
      </w:r>
    </w:p>
    <w:p>
      <w:r>
        <w:t>中医学教材专业性强、术语晦涩难懂，传统教学缺乏语义辅助。AiTcmFun提出“注释+语义+问答+记忆”一体化解决方案，以大模型推动中医教育现代化。</w:t>
      </w:r>
    </w:p>
    <w:p>
      <w:pPr>
        <w:pStyle w:val="Heading1"/>
      </w:pPr>
      <w:r>
        <w:t>市场分析</w:t>
      </w:r>
    </w:p>
    <w:p>
      <w:r>
        <w:t>目标用户涵盖80万中医学学生、70万中医从业者、2亿潜在中医文化用户，数字中医赛道正在迎来政策和技术红利。</w:t>
      </w:r>
    </w:p>
    <w:p>
      <w:pPr>
        <w:pStyle w:val="Heading1"/>
      </w:pPr>
      <w:r>
        <w:t>产品与技术解决方案</w:t>
      </w:r>
    </w:p>
    <w:p>
      <w:r>
        <w:t>核心技术包括：OCR+NER古籍解析，Gemma3+RAG模型注释生成，中医知识图谱推理，本地C++轻量界面。强调“可解释、可私有化、有温度”的AI助手。</w:t>
      </w:r>
    </w:p>
    <w:p>
      <w:pPr>
        <w:pStyle w:val="Heading1"/>
      </w:pPr>
      <w:r>
        <w:t>商业模式设计</w:t>
      </w:r>
    </w:p>
    <w:p>
      <w:r>
        <w:t>ToC订阅（学生与健康用户）+ ToB授权（医院/高校）+ ToD数据API（科研与AI开发者）。支持内容增值、品牌合作、知识服务转化。</w:t>
      </w:r>
    </w:p>
    <w:p>
      <w:pPr>
        <w:pStyle w:val="Heading1"/>
      </w:pPr>
      <w:r>
        <w:t>运营计划</w:t>
      </w:r>
    </w:p>
    <w:p>
      <w:r>
        <w:t>第一年完成原型与试点，第二年用户增长达30万，第三年中英文版上线、海外市场试水。通过高校共建、社区试点与KOL推广触达核心群体。</w:t>
      </w:r>
    </w:p>
    <w:p>
      <w:pPr>
        <w:pStyle w:val="Heading1"/>
      </w:pPr>
      <w:r>
        <w:t>核心团队介绍</w:t>
      </w:r>
    </w:p>
    <w:p>
      <w:r>
        <w:t>包括AI工程师、中医博士、产品经理与运营专家。顾问包括中医药大学教授、医疗合规律师与AI科研专家。</w:t>
      </w:r>
    </w:p>
    <w:p>
      <w:pPr>
        <w:pStyle w:val="Heading1"/>
      </w:pPr>
      <w:r>
        <w:t>财务预测与模型</w:t>
      </w:r>
    </w:p>
    <w:p>
      <w:r>
        <w:t>预计三年内从亏损向盈亏平衡转变：初期研发+冷启动支出约500万元，第三年收入可达850万元以上。</w:t>
      </w:r>
    </w:p>
    <w:p>
      <w:pPr>
        <w:pStyle w:val="Heading1"/>
      </w:pPr>
      <w:r>
        <w:t>风险分析与应对策略</w:t>
      </w:r>
    </w:p>
    <w:p>
      <w:r>
        <w:t>技术准确性、数据合规、用户信任与资金持续性为主要风险，项目通过专家审核机制、法律顾问、用户透明提示与阶段融资策略应对。</w:t>
      </w:r>
    </w:p>
    <w:p>
      <w:pPr>
        <w:pStyle w:val="Heading1"/>
      </w:pPr>
      <w:r>
        <w:t>发展路径与融资需求</w:t>
      </w:r>
    </w:p>
    <w:p>
      <w:r>
        <w:t>目标三年内成为全国领先中医AI平台，阶段融资计划：天使轮500万元，A轮1000万元，重点投入技术、内容、渠道与生态构建。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