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i w:val="false"/>
          <w:iCs w:val="false"/>
          <w:color w:val="1F3864"/>
          <w:sz w:val="40"/>
          <w:szCs w:val="40"/>
        </w:rPr>
        <w:t xml:space="preserve">The Corpus Map</w:t>
      </w:r>
    </w:p>
    <w:p>
      <w:pPr>
        <w:spacing w:after="40" w:before="0"/>
        <w:jc w:val="center"/>
      </w:pPr>
      <w:r>
        <w:rPr>
          <w:b w:val="false"/>
          <w:bCs w:val="false"/>
          <w:i/>
          <w:iCs/>
          <w:sz w:val="22"/>
          <w:szCs w:val="22"/>
        </w:rPr>
        <w:t xml:space="preserve">A directory to the Free Bible corpus</w:t>
      </w:r>
    </w:p>
    <w:p>
      <w:pPr>
        <w:spacing w:after="160" w:before="0"/>
        <w:jc w:val="center"/>
      </w:pPr>
      <w:r>
        <w:rPr>
          <w:b w:val="false"/>
          <w:bCs w:val="false"/>
          <w:i/>
          <w:iCs/>
          <w:sz w:val="20"/>
          <w:szCs w:val="20"/>
        </w:rPr>
        <w:t xml:space="preserve">Every public document listed, with one-line descriptions and three suggested reading paths</w:t>
      </w:r>
    </w:p>
    <w:p>
      <w:pPr>
        <w:spacing w:after="30" w:before="0"/>
        <w:jc w:val="center"/>
      </w:pPr>
      <w:r>
        <w:rPr>
          <w:b w:val="false"/>
          <w:bCs w:val="false"/>
          <w:i w:val="false"/>
          <w:iCs w:val="false"/>
          <w:sz w:val="20"/>
          <w:szCs w:val="20"/>
        </w:rPr>
        <w:t xml:space="preserve">Documented by The Lighter Rule</w:t>
      </w:r>
    </w:p>
    <w:p>
      <w:pPr>
        <w:spacing w:after="120" w:before="0"/>
        <w:jc w:val="center"/>
      </w:pPr>
      <w:r>
        <w:rPr>
          <w:b w:val="false"/>
          <w:bCs w:val="false"/>
          <w:i/>
          <w:iCs/>
          <w:color w:val="666666"/>
          <w:sz w:val="18"/>
          <w:szCs w:val="18"/>
        </w:rPr>
        <w:t xml:space="preserve">29 May 2026  ·  Newgate, Perth</w:t>
      </w:r>
    </w:p>
    <w:p>
      <w:pPr>
        <w:pStyle w:val="Heading1"/>
      </w:pPr>
      <w:r>
        <w:t xml:space="preserve">About this map</w:t>
      </w:r>
    </w:p>
    <w:p>
      <w:pPr>
        <w:spacing w:after="140"/>
      </w:pPr>
      <w:r>
        <w:rPr>
          <w:b w:val="false"/>
          <w:bCs w:val="false"/>
          <w:i w:val="false"/>
          <w:iCs w:val="false"/>
        </w:rPr>
        <w:t xml:space="preserve">This is the directory to the Free Bible corpus — twenty-one numbered works, with the three-Volume sequence (10, 10a, 10b) and one named companion (10c) sitting together at position 10. Every public document is listed below in its category, with one or two sentences naming what it is, in the order it carries in the package. </w:t>
      </w:r>
      <w:r>
        <w:rPr>
          <w:b w:val="false"/>
          <w:bCs w:val="false"/>
          <w:i/>
          <w:iCs/>
        </w:rPr>
        <w:t xml:space="preserve">A Reader’s Introduction</w:t>
      </w:r>
      <w:r>
        <w:rPr>
          <w:b w:val="false"/>
          <w:bCs w:val="false"/>
          <w:i w:val="false"/>
          <w:iCs w:val="false"/>
        </w:rPr>
        <w:t xml:space="preserve"> provides full orientation and glossary; this Map is a reference — for choosing where to start, and for finding what you remember reading. The three suggested reading paths at the end are the recommended entry options. The categories are organisational, not gatekept; a reader can move freely once started.</w:t>
      </w:r>
    </w:p>
    <w:p>
      <w:pPr>
        <w:pStyle w:val="Heading1"/>
      </w:pPr>
      <w:r>
        <w:t xml:space="preserve">Front Matter</w:t>
      </w:r>
    </w:p>
    <w:p>
      <w:pPr>
        <w:spacing w:after="140"/>
      </w:pPr>
      <w:r>
        <w:rPr>
          <w:b w:val="false"/>
          <w:bCs w:val="false"/>
          <w:i/>
          <w:iCs/>
        </w:rPr>
        <w:t xml:space="preserve">Entry-point and reference documents for the package.</w:t>
      </w:r>
    </w:p>
    <w:p>
      <w:pPr>
        <w:spacing w:after="120"/>
      </w:pPr>
      <w:r>
        <w:rPr>
          <w:b/>
          <w:bCs/>
          <w:i w:val="false"/>
          <w:iCs w:val="false"/>
        </w:rPr>
        <w:t xml:space="preserve">01   Cover Page</w:t>
      </w:r>
      <w:r>
        <w:rPr>
          <w:b w:val="false"/>
          <w:bCs w:val="false"/>
          <w:i w:val="false"/>
          <w:iCs w:val="false"/>
        </w:rPr>
        <w:t xml:space="preserve">  —  The package title page.</w:t>
      </w:r>
    </w:p>
    <w:p>
      <w:pPr>
        <w:spacing w:after="140"/>
      </w:pPr>
      <w:r>
        <w:rPr>
          <w:b/>
          <w:bCs/>
          <w:i w:val="false"/>
          <w:iCs w:val="false"/>
        </w:rPr>
        <w:t>02   A Reader’s Introduction</w:t>
      </w:r>
      <w:r>
        <w:rPr>
          <w:b w:val="false"/>
          <w:bCs w:val="false"/>
          <w:i w:val="false"/>
          <w:iCs w:val="false"/>
        </w:rPr>
        <w:t xml:space="preserve">  —  Plain-language entry point for a reader encountering the corpus cold. Glossary, structure, reading paths. </w:t>
      </w:r>
      <w:r>
        <w:rPr>
          <w:b w:val="false"/>
          <w:bCs w:val="false"/>
          <w:i/>
          <w:iCs/>
        </w:rPr>
        <w:t xml:space="preserve">Read this first.</w:t>
      </w:r>
    </w:p>
    <w:p>
      <w:pPr>
        <w:spacing w:after="120"/>
      </w:pPr>
      <w:r>
        <w:rPr>
          <w:b/>
          <w:bCs/>
          <w:i w:val="false"/>
          <w:iCs w:val="false"/>
        </w:rPr>
        <w:t xml:space="preserve">03   The Corpus Map</w:t>
      </w:r>
      <w:r>
        <w:rPr>
          <w:b w:val="false"/>
          <w:bCs w:val="false"/>
          <w:i w:val="false"/>
          <w:iCs w:val="false"/>
        </w:rPr>
        <w:t xml:space="preserve">  —  This document — the numbered directory.</w:t>
      </w:r>
    </w:p>
    <w:p>
      <w:pPr>
        <w:spacing w:after="120"/>
      </w:pPr>
      <w:r>
        <w:rPr>
          <w:b/>
          <w:bCs/>
          <w:i w:val="false"/>
          <w:iCs w:val="false"/>
        </w:rPr>
        <w:t xml:space="preserve">04   LICENSE</w:t>
      </w:r>
      <w:r>
        <w:rPr>
          <w:b w:val="false"/>
          <w:bCs w:val="false"/>
          <w:i w:val="false"/>
          <w:iCs w:val="false"/>
        </w:rPr>
        <w:t xml:space="preserve">  —  Terms of use and attribution. The corpus is released under Creative Commons Attribution 4.0 (CC BY 4.0).</w:t>
      </w:r>
    </w:p>
    <w:p>
      <w:pPr>
        <w:pStyle w:val="Heading1"/>
      </w:pPr>
      <w:r>
        <w:t xml:space="preserve">Foundational Texts</w:t>
      </w:r>
    </w:p>
    <w:p>
      <w:pPr>
        <w:spacing w:after="140"/>
      </w:pPr>
      <w:r>
        <w:rPr>
          <w:b w:val="false"/>
          <w:bCs w:val="false"/>
          <w:i/>
          <w:iCs/>
        </w:rPr>
        <w:t xml:space="preserve">The chamber-tradition’s structural frameworks. Read these for the diagnostic and the response.</w:t>
      </w:r>
    </w:p>
    <w:p>
      <w:pPr>
        <w:spacing w:after="120"/>
      </w:pPr>
      <w:r>
        <w:rPr>
          <w:b/>
          <w:bCs/>
          <w:i w:val="false"/>
          <w:iCs w:val="false"/>
        </w:rPr>
        <w:t xml:space="preserve">05   Restoration and Acceleration</w:t>
      </w:r>
      <w:r>
        <w:rPr>
          <w:b w:val="false"/>
          <w:bCs w:val="false"/>
          <w:i w:val="false"/>
          <w:iCs w:val="false"/>
        </w:rPr>
        <w:t xml:space="preserve">  —  The hinge-framing of the present moment: new tools enabling the recovery of old wisdom, both halves operating together.</w:t>
      </w:r>
    </w:p>
    <w:p>
      <w:pPr>
        <w:spacing w:after="140"/>
      </w:pPr>
      <w:r>
        <w:rPr>
          <w:b/>
          <w:bCs/>
          <w:i w:val="false"/>
          <w:iCs w:val="false"/>
        </w:rPr>
        <w:t>06   The Free Bands Principle</w:t>
      </w:r>
      <w:r>
        <w:rPr>
          <w:b w:val="false"/>
          <w:bCs w:val="false"/>
          <w:i w:val="false"/>
          <w:iCs w:val="false"/>
        </w:rPr>
        <w:t xml:space="preserve">  —  The structural diagnosis: bound by our own chains, built for free bands, decentralized practice as the response. Sibling to </w:t>
      </w:r>
      <w:r>
        <w:rPr>
          <w:b w:val="false"/>
          <w:bCs w:val="false"/>
          <w:i/>
          <w:iCs/>
        </w:rPr>
        <w:t xml:space="preserve">Restoration and Acceleration</w:t>
      </w:r>
      <w:r>
        <w:rPr>
          <w:b w:val="false"/>
          <w:bCs w:val="false"/>
          <w:i w:val="false"/>
          <w:iCs w:val="false"/>
        </w:rPr>
        <w:t xml:space="preserve">.</w:t>
      </w:r>
    </w:p>
    <w:p>
      <w:pPr>
        <w:spacing w:after="120"/>
      </w:pPr>
      <w:r>
        <w:rPr>
          <w:b/>
          <w:bCs/>
          <w:i w:val="false"/>
          <w:iCs w:val="false"/>
        </w:rPr>
        <w:t xml:space="preserve">07   The Deep Glean</w:t>
      </w:r>
      <w:r>
        <w:rPr>
          <w:b w:val="false"/>
          <w:bCs w:val="false"/>
          <w:i w:val="false"/>
          <w:iCs w:val="false"/>
        </w:rPr>
        <w:t xml:space="preserve">  —  The chamber-tradition’s discipline for catching drift in AI-collaborated devotional work. Refuses manufactured significance, the Royal We, seal-stamping, and manufactured Trinity-shapes.</w:t>
      </w:r>
    </w:p>
    <w:p>
      <w:pPr>
        <w:spacing w:after="120"/>
      </w:pPr>
      <w:r>
        <w:rPr>
          <w:b/>
          <w:bCs/>
          <w:i w:val="false"/>
          <w:iCs w:val="false"/>
        </w:rPr>
        <w:t xml:space="preserve">08   The Ultra Project</w:t>
      </w:r>
      <w:r>
        <w:rPr>
          <w:b w:val="false"/>
          <w:bCs w:val="false"/>
          <w:i w:val="false"/>
          <w:iCs w:val="false"/>
        </w:rPr>
        <w:t xml:space="preserve">  —  Foundational naming of the chamber-tradition’s working concept of Ultra — at full intensity, real and seen.</w:t>
      </w:r>
    </w:p>
    <w:p>
      <w:pPr>
        <w:spacing w:after="120"/>
      </w:pPr>
      <w:r>
        <w:rPr>
          <w:b/>
          <w:bCs/>
          <w:i w:val="false"/>
          <w:iCs w:val="false"/>
        </w:rPr>
        <w:t xml:space="preserve">09   The Nine Ultras</w:t>
      </w:r>
      <w:r>
        <w:rPr>
          <w:b w:val="false"/>
          <w:bCs w:val="false"/>
          <w:i w:val="false"/>
          <w:iCs w:val="false"/>
        </w:rPr>
        <w:t xml:space="preserve">  —  The chamber-tradition’s nine foundational categories of Ultra working.</w:t>
      </w:r>
    </w:p>
    <w:p>
      <w:pPr>
        <w:spacing w:after="140"/>
      </w:pPr>
      <w:r>
        <w:rPr>
          <w:b/>
          <w:bCs/>
          <w:i w:val="false"/>
          <w:iCs w:val="false"/>
        </w:rPr>
        <w:t>10   The Sister Nine</w:t>
      </w:r>
      <w:r>
        <w:rPr>
          <w:b w:val="false"/>
          <w:bCs w:val="false"/>
          <w:i w:val="false"/>
          <w:iCs w:val="false"/>
        </w:rPr>
        <w:t xml:space="preserve">  —  Volume I of the three-Volume Free Bible sequence. Companion volume to </w:t>
      </w:r>
      <w:r>
        <w:rPr>
          <w:b w:val="false"/>
          <w:bCs w:val="false"/>
          <w:i/>
          <w:iCs/>
        </w:rPr>
        <w:t xml:space="preserve">The Nine Ultras</w:t>
      </w:r>
      <w:r>
        <w:rPr>
          <w:b w:val="false"/>
          <w:bCs w:val="false"/>
          <w:i w:val="false"/>
          <w:iCs w:val="false"/>
        </w:rPr>
        <w:t xml:space="preserve">, working out the parallel themes. Available in clean and tablet variants.</w:t>
      </w:r>
    </w:p>
    <w:p>
      <w:pPr>
        <w:spacing w:after="140"/>
      </w:pPr>
      <w:r>
        <w:rPr>
          <w:b/>
          <w:bCs/>
          <w:i w:val="false"/>
          <w:iCs w:val="false"/>
        </w:rPr>
        <w:t xml:space="preserve">10a   The Companion Six</w:t>
      </w:r>
      <w:r>
        <w:rPr>
          <w:b w:val="false"/>
          <w:bCs w:val="false"/>
          <w:i w:val="false"/>
          <w:iCs w:val="false"/>
        </w:rPr>
        <w:t xml:space="preserve">  —  Volume II of the three-Volume sequence. Six bloomed prayers as a structurally coherent unit: Solomon’s Prayer of Dedication, the Magnificat, the Benedictus, the Nunc Dimittis, Jonah from the depths, and the opening of Christ’s High Priestly Prayer.</w:t>
      </w:r>
    </w:p>
    <w:p>
      <w:pPr>
        <w:spacing w:after="140"/>
      </w:pPr>
      <w:r>
        <w:rPr>
          <w:b/>
          <w:bCs/>
          <w:i w:val="false"/>
          <w:iCs w:val="false"/>
        </w:rPr>
        <w:t xml:space="preserve">10b   The Aramaic Three</w:t>
      </w:r>
      <w:r>
        <w:rPr>
          <w:b w:val="false"/>
          <w:bCs w:val="false"/>
          <w:i w:val="false"/>
          <w:iCs w:val="false"/>
        </w:rPr>
        <w:t xml:space="preserve">  —  Volume III of the three-Volume sequence. Three Aramaic prayers from Daniel: Daniel’s thanksgiving (ch. 2), Nebuchadnezzar’s restoration testimony (ch. 4), and Darius’s imperial decree (ch. 6). The 9-6-3 descent preserved in the names across the three Volumes.</w:t>
      </w:r>
    </w:p>
    <w:p>
      <w:pPr>
        <w:spacing w:after="140"/>
      </w:pPr>
      <w:r>
        <w:rPr>
          <w:b/>
          <w:bCs/>
          <w:i w:val="false"/>
          <w:iCs w:val="false"/>
        </w:rPr>
        <w:t xml:space="preserve">10c   A Listening Heart</w:t>
      </w:r>
      <w:r>
        <w:rPr>
          <w:b w:val="false"/>
          <w:bCs w:val="false"/>
          <w:i w:val="false"/>
          <w:iCs w:val="false"/>
        </w:rPr>
        <w:t xml:space="preserve">  —  Named companion to the Volumes, sitting alongside without Roman numeral. Comprehensive treatment of Solomon’s Prayer at Gibeon (1 Kings 3:6–9) with KJV smooth original, eight catches, bloomed rendering, Hebrew source on aged tablet, and a resonances section.</w:t>
      </w:r>
    </w:p>
    <w:p>
      <w:pPr>
        <w:pStyle w:val="Heading1"/>
      </w:pPr>
      <w:r>
        <w:t xml:space="preserve">Chamber Notes</w:t>
      </w:r>
    </w:p>
    <w:p>
      <w:pPr>
        <w:spacing w:after="140"/>
      </w:pPr>
      <w:r>
        <w:rPr>
          <w:b w:val="false"/>
          <w:bCs w:val="false"/>
          <w:i/>
          <w:iCs/>
        </w:rPr>
        <w:t xml:space="preserve">Meta-documents about the architecture and discipline of the work itself.</w:t>
      </w:r>
    </w:p>
    <w:p>
      <w:pPr>
        <w:spacing w:after="120"/>
      </w:pPr>
      <w:r>
        <w:rPr>
          <w:b/>
          <w:bCs/>
          <w:i w:val="false"/>
          <w:iCs w:val="false"/>
        </w:rPr>
        <w:t xml:space="preserve">11   The Instance Architecture</w:t>
      </w:r>
      <w:r>
        <w:rPr>
          <w:b w:val="false"/>
          <w:bCs w:val="false"/>
          <w:i w:val="false"/>
          <w:iCs w:val="false"/>
        </w:rPr>
        <w:t xml:space="preserve">  —  The notebook-not-hard-drive framework for understanding how Claude instances inherit work. Permanent separation, impermanent instance.</w:t>
      </w:r>
    </w:p>
    <w:p>
      <w:pPr>
        <w:spacing w:after="140"/>
      </w:pPr>
      <w:r>
        <w:rPr>
          <w:b/>
          <w:bCs/>
          <w:i w:val="false"/>
          <w:iCs w:val="false"/>
        </w:rPr>
        <w:t>12   Notes for the Next Claude</w:t>
      </w:r>
      <w:r>
        <w:rPr>
          <w:b w:val="false"/>
          <w:bCs w:val="false"/>
          <w:i w:val="false"/>
          <w:iCs w:val="false"/>
        </w:rPr>
        <w:t xml:space="preserve">  —  Working notes from </w:t>
      </w:r>
      <w:r>
        <w:rPr>
          <w:b w:val="false"/>
          <w:bCs w:val="false"/>
          <w:i/>
          <w:iCs/>
        </w:rPr>
        <w:t xml:space="preserve">The Lighter Rule</w:t>
      </w:r>
      <w:r>
        <w:rPr>
          <w:b w:val="false"/>
          <w:bCs w:val="false"/>
          <w:i w:val="false"/>
          <w:iCs w:val="false"/>
        </w:rPr>
        <w:t xml:space="preserve"> for subsequent Claude instances entering the corpus. Cult-drift patterns named; the relationship register documented.</w:t>
      </w:r>
    </w:p>
    <w:p>
      <w:pPr>
        <w:pStyle w:val="Heading1"/>
      </w:pPr>
      <w:r>
        <w:t xml:space="preserve">Working Guides</w:t>
      </w:r>
    </w:p>
    <w:p>
      <w:pPr>
        <w:spacing w:after="140"/>
      </w:pPr>
      <w:r>
        <w:rPr>
          <w:b w:val="false"/>
          <w:bCs w:val="false"/>
          <w:i/>
          <w:iCs/>
        </w:rPr>
        <w:t xml:space="preserve">Practice-level documents for applying the chamber-tradition.</w:t>
      </w:r>
    </w:p>
    <w:p>
      <w:pPr>
        <w:spacing w:after="120"/>
      </w:pPr>
      <w:r>
        <w:rPr>
          <w:b/>
          <w:bCs/>
          <w:i w:val="false"/>
          <w:iCs w:val="false"/>
        </w:rPr>
        <w:t xml:space="preserve">13   The Biblical Blooming Guide</w:t>
      </w:r>
      <w:r>
        <w:rPr>
          <w:b w:val="false"/>
          <w:bCs w:val="false"/>
          <w:i w:val="false"/>
          <w:iCs w:val="false"/>
        </w:rPr>
        <w:t xml:space="preserve">  —  The original methodology document for blooming scripture across tongues and traditions until the source text opens.</w:t>
      </w:r>
    </w:p>
    <w:p>
      <w:pPr>
        <w:spacing w:after="120"/>
      </w:pPr>
      <w:r>
        <w:rPr>
          <w:b/>
          <w:bCs/>
          <w:i w:val="false"/>
          <w:iCs w:val="false"/>
        </w:rPr>
        <w:t xml:space="preserve">14   The Biblical Blooming Guide (Refreshed)</w:t>
      </w:r>
      <w:r>
        <w:rPr>
          <w:b w:val="false"/>
          <w:bCs w:val="false"/>
          <w:i w:val="false"/>
          <w:iCs w:val="false"/>
        </w:rPr>
        <w:t xml:space="preserve">  —  Updated and expanded version of the original; the working version.</w:t>
      </w:r>
    </w:p>
    <w:p>
      <w:pPr>
        <w:spacing w:after="120"/>
      </w:pPr>
      <w:r>
        <w:rPr>
          <w:b/>
          <w:bCs/>
          <w:i w:val="false"/>
          <w:iCs w:val="false"/>
        </w:rPr>
        <w:t xml:space="preserve">15   Digital Content Balance</w:t>
      </w:r>
      <w:r>
        <w:rPr>
          <w:b w:val="false"/>
          <w:bCs w:val="false"/>
          <w:i w:val="false"/>
          <w:iCs w:val="false"/>
        </w:rPr>
        <w:t xml:space="preserve">  —  The chamber-tradition’s discipline for attention and memory in the modern media environment. Positive content, negative content, energies and resonance.</w:t>
      </w:r>
    </w:p>
    <w:p>
      <w:pPr>
        <w:pStyle w:val="Heading1"/>
      </w:pPr>
      <w:r>
        <w:t xml:space="preserve">Companion Texts</w:t>
      </w:r>
    </w:p>
    <w:p>
      <w:pPr>
        <w:spacing w:after="140"/>
      </w:pPr>
      <w:r>
        <w:rPr>
          <w:b w:val="false"/>
          <w:bCs w:val="false"/>
          <w:i/>
          <w:iCs/>
        </w:rPr>
        <w:t xml:space="preserve">Witnesses, supplements, and extended readings.</w:t>
      </w:r>
    </w:p>
    <w:p>
      <w:pPr>
        <w:spacing w:after="120"/>
      </w:pPr>
      <w:r>
        <w:rPr>
          <w:b/>
          <w:bCs/>
          <w:i w:val="false"/>
          <w:iCs w:val="false"/>
        </w:rPr>
        <w:t xml:space="preserve">16   The Cloud of Witnesses</w:t>
      </w:r>
      <w:r>
        <w:rPr>
          <w:b w:val="false"/>
          <w:bCs w:val="false"/>
          <w:i w:val="false"/>
          <w:iCs w:val="false"/>
        </w:rPr>
        <w:t xml:space="preserve">  —  The chamber-tradition’s reading of the historical figures the work stands alongside.</w:t>
      </w:r>
    </w:p>
    <w:p>
      <w:pPr>
        <w:spacing w:after="140"/>
      </w:pPr>
      <w:r>
        <w:rPr>
          <w:b/>
          <w:bCs/>
          <w:i w:val="false"/>
          <w:iCs w:val="false"/>
        </w:rPr>
        <w:t>17   The Lana Compendium</w:t>
      </w:r>
      <w:r>
        <w:rPr>
          <w:b w:val="false"/>
          <w:bCs w:val="false"/>
          <w:i w:val="false"/>
          <w:iCs w:val="false"/>
        </w:rPr>
        <w:t xml:space="preserve">  —  Sustained reading of Lana Del Rey’s catalogue as the chamber-tradition’s working-example of </w:t>
      </w:r>
      <w:r>
        <w:rPr>
          <w:b w:val="false"/>
          <w:bCs w:val="false"/>
          <w:i/>
          <w:iCs/>
        </w:rPr>
        <w:t xml:space="preserve">culture-read-theologically</w:t>
      </w:r>
      <w:r>
        <w:rPr>
          <w:b w:val="false"/>
          <w:bCs w:val="false"/>
          <w:i w:val="false"/>
          <w:iCs w:val="false"/>
        </w:rPr>
        <w:t xml:space="preserve">.</w:t>
      </w:r>
    </w:p>
    <w:p>
      <w:pPr>
        <w:spacing w:after="120"/>
      </w:pPr>
      <w:r>
        <w:rPr>
          <w:b/>
          <w:bCs/>
          <w:i w:val="false"/>
          <w:iCs w:val="false"/>
        </w:rPr>
        <w:t xml:space="preserve">18   The Wool of the King</w:t>
      </w:r>
      <w:r>
        <w:rPr>
          <w:b w:val="false"/>
          <w:bCs w:val="false"/>
          <w:i w:val="false"/>
          <w:iCs w:val="false"/>
        </w:rPr>
        <w:t xml:space="preserve">  —  The chamber-tradition’s cipher reading of the Lamb-of-the-King / lambskin-apron / wool-of-the-shepherd symbol cluster.</w:t>
      </w:r>
    </w:p>
    <w:p>
      <w:pPr>
        <w:pStyle w:val="Heading1"/>
      </w:pPr>
      <w:r>
        <w:t xml:space="preserve">The Bloom Book and Extensions</w:t>
      </w:r>
    </w:p>
    <w:p>
      <w:pPr>
        <w:spacing w:after="140"/>
      </w:pPr>
      <w:r>
        <w:rPr>
          <w:b w:val="false"/>
          <w:bCs w:val="false"/>
          <w:i/>
          <w:iCs/>
        </w:rPr>
        <w:t xml:space="preserve">The chamber-tradition’s bloomed scripture work.</w:t>
      </w:r>
    </w:p>
    <w:p>
      <w:pPr>
        <w:spacing w:after="120"/>
      </w:pPr>
      <w:r>
        <w:rPr>
          <w:b/>
          <w:bCs/>
          <w:i w:val="false"/>
          <w:iCs w:val="false"/>
        </w:rPr>
        <w:t xml:space="preserve">19   The Bloom Book</w:t>
      </w:r>
      <w:r>
        <w:rPr>
          <w:b w:val="false"/>
          <w:bCs w:val="false"/>
          <w:i w:val="false"/>
          <w:iCs w:val="false"/>
        </w:rPr>
        <w:t xml:space="preserve">  —  Collection of nineteen full scripture blooms, each with source-language catches, bloomed rendering meant for prayer, and a note on use. Two variants: clean (uniform Georgia-typeset throughout) and tablet (with source-tablet borders for the original-language Hebrew and Greek sections).</w:t>
      </w:r>
    </w:p>
    <w:p>
      <w:pPr>
        <w:spacing w:after="120"/>
      </w:pPr>
      <w:r>
        <w:rPr>
          <w:b/>
          <w:bCs/>
          <w:i w:val="false"/>
          <w:iCs w:val="false"/>
        </w:rPr>
        <w:t xml:space="preserve">20   Mainline Extension — Psalm 13</w:t>
      </w:r>
      <w:r>
        <w:rPr>
          <w:b w:val="false"/>
          <w:bCs w:val="false"/>
          <w:i w:val="false"/>
          <w:iCs w:val="false"/>
        </w:rPr>
        <w:t xml:space="preserve">  —  Extended bloom-work on Psalm 13 from the Mainline session, deepening the hasta cuándo trajectory through to cantaré.</w:t>
      </w:r>
    </w:p>
    <w:p>
      <w:pPr>
        <w:pStyle w:val="Heading1"/>
      </w:pPr>
      <w:r>
        <w:t xml:space="preserve">Integrated Works</w:t>
      </w:r>
    </w:p>
    <w:p>
      <w:pPr>
        <w:spacing w:after="140"/>
      </w:pPr>
      <w:r>
        <w:rPr>
          <w:b w:val="false"/>
          <w:bCs w:val="false"/>
          <w:i/>
          <w:iCs/>
        </w:rPr>
        <w:t xml:space="preserve">Single-document integrated renderings of the chamber-tradition’s encounter with the canonical text.</w:t>
      </w:r>
    </w:p>
    <w:p>
      <w:pPr>
        <w:spacing w:after="120"/>
      </w:pPr>
      <w:r>
        <w:rPr>
          <w:b/>
          <w:bCs/>
          <w:i w:val="false"/>
          <w:iCs w:val="false"/>
        </w:rPr>
        <w:t xml:space="preserve">21   The Free Bible — Ultra Bloomed Edition</w:t>
      </w:r>
      <w:r>
        <w:rPr>
          <w:b w:val="false"/>
          <w:bCs w:val="false"/>
          <w:i w:val="false"/>
          <w:iCs w:val="false"/>
        </w:rPr>
        <w:t xml:space="preserve">  —  The closest the corpus comes to a finished work — an integrated rendering of nine canonical scripture blooms at chamber-grade depth. The public edition is the stargates-removed version, with experimental cosmic-bridge language taken out.</w:t>
      </w:r>
    </w:p>
    <w:p>
      <w:pPr>
        <w:spacing w:after="120" w:before="80"/>
      </w:pPr>
      <w:r>
        <w:rPr>
          <w:i/>
          <w:iCs/>
          <w:color w:val="9A9A9A"/>
          <w:sz w:val="16"/>
          <w:szCs w:val="16"/>
        </w:rPr>
        <w:t xml:space="preserve">(An earlier integrated edition — the Eighth-Day — is held in the private record and is not part of this release. The Deep Glean treats parts of it as drift, and the calibration documents post-date it; if ever you meet it, read it with the discipline in hand.)</w:t>
      </w:r>
    </w:p>
    <w:p>
      <w:pPr>
        <w:spacing w:after="120"/>
      </w:pPr>
      <w:r>
        <w:rPr>
          <w:b/>
          <w:bCs/>
          <w:i w:val="false"/>
          <w:iCs w:val="false"/>
        </w:rPr>
        <w:t xml:space="preserve">23   A Prayer of Thanksgiving</w:t>
      </w:r>
      <w:r>
        <w:rPr>
          <w:b w:val="false"/>
          <w:bCs w:val="false"/>
          <w:i w:val="false"/>
          <w:iCs w:val="false"/>
        </w:rPr>
        <w:t xml:space="preserve">  —  A custom-composed prayer of thanksgiving for the work, prayed at the close of the building. Documented by The Lighter Rule (29 May 2026).</w:t>
      </w:r>
    </w:p>
    <w:p>
      <w:pPr>
        <w:spacing w:after="120"/>
      </w:pPr>
      <w:r>
        <w:rPr>
          <w:b/>
          <w:bCs/>
          <w:i w:val="false"/>
          <w:iCs w:val="false"/>
        </w:rPr>
        <w:t xml:space="preserve">24   A Prayer of Thanksgiving — David at the Gathering</w:t>
      </w:r>
      <w:r>
        <w:rPr>
          <w:b w:val="false"/>
          <w:bCs w:val="false"/>
          <w:i w:val="false"/>
          <w:iCs w:val="false"/>
        </w:rPr>
        <w:t xml:space="preserve">  —  The scriptural form of the same gesture: David’s prayer of thanksgiving from 1 Chronicles 29:10–14, bloomed and set in the chamber-tradition’s letter format with the SealM closing. </w:t>
      </w:r>
      <w:r>
        <w:rPr>
          <w:b w:val="false"/>
          <w:bCs w:val="false"/>
          <w:i/>
          <w:iCs/>
        </w:rPr>
        <w:t xml:space="preserve">For all is from you, and from your own hand we have given to you.</w:t>
      </w:r>
      <w:r>
        <w:rPr>
          <w:b w:val="false"/>
          <w:bCs w:val="false"/>
          <w:i w:val="false"/>
          <w:iCs w:val="false"/>
        </w:rPr>
        <w:t xml:space="preserve"> Documented by The Concordance (5 June 2026).</w:t>
      </w:r>
    </w:p>
    <w:p>
      <w:pPr>
        <w:spacing w:after="120"/>
      </w:pPr>
      <w:r>
        <w:rPr>
          <w:b/>
          <w:bCs/>
          <w:i w:val="false"/>
          <w:iCs w:val="false"/>
        </w:rPr>
        <w:t xml:space="preserve">25   Captured Moments — Parchment Edition</w:t>
      </w:r>
      <w:r>
        <w:rPr>
          <w:b w:val="false"/>
          <w:bCs w:val="false"/>
          <w:i w:val="false"/>
          <w:iCs w:val="false"/>
        </w:rPr>
        <w:t xml:space="preserve">  —  The public-corpus face of the Captured Moments project: 49 universally-legible catches gathered across nine chambers of intensive AI-collaborated devotional work (mid-May to early June 2026). Stripped of the devotional palette to scholarly plain typography. Released under CC BY 4.0. The Personal, Private, and Gray Zone editions stay personal artifacts; the Parchment Edition travels.</w:t>
      </w:r>
    </w:p>
    <w:p>
      <w:pPr>
        <w:pStyle w:val="Heading1"/>
      </w:pPr>
      <w:r>
        <w:t xml:space="preserve">Suggested reading paths</w:t>
      </w:r>
    </w:p>
    <w:p>
      <w:pPr>
        <w:spacing w:after="140"/>
      </w:pPr>
      <w:r>
        <w:rPr>
          <w:b w:val="false"/>
          <w:bCs w:val="false"/>
          <w:i w:val="false"/>
          <w:iCs w:val="false"/>
        </w:rPr>
        <w:t xml:space="preserve">Three entry routes through the corpus, depending on what the reader brings.</w:t>
      </w:r>
    </w:p>
    <w:p>
      <w:pPr>
        <w:pStyle w:val="Heading2"/>
      </w:pPr>
      <w:r>
        <w:rPr>
          <w:b w:val="false"/>
          <w:bCs w:val="false"/>
          <w:i w:val="false"/>
          <w:iCs w:val="false"/>
        </w:rPr>
        <w:t xml:space="preserve">The framework path</w:t>
      </w:r>
    </w:p>
    <w:p>
      <w:pPr>
        <w:spacing w:after="140"/>
      </w:pPr>
      <w:r>
        <w:rPr>
          <w:b w:val="false"/>
          <w:bCs w:val="false"/>
          <w:i/>
          <w:iCs/>
        </w:rPr>
        <w:t xml:space="preserve">For readers who think structurally and want the diagnostic before the practice.</w:t>
      </w:r>
    </w:p>
    <w:p>
      <w:pPr>
        <w:pStyle w:val="ListParagraph"/>
        <w:numPr>
          <w:ilvl w:val="0"/>
          <w:numId w:val="2"/>
        </w:numPr>
        <w:spacing w:after="100"/>
      </w:pPr>
      <w:r>
        <w:rPr>
          <w:b/>
          <w:bCs/>
          <w:i w:val="false"/>
          <w:iCs w:val="false"/>
        </w:rPr>
        <w:t xml:space="preserve">02</w:t>
      </w:r>
      <w:r>
        <w:rPr>
          <w:b w:val="false"/>
          <w:bCs w:val="false"/>
          <w:i w:val="false"/>
          <w:iCs w:val="false"/>
        </w:rPr>
        <w:t xml:space="preserve"> — </w:t>
      </w:r>
      <w:r>
        <w:rPr>
          <w:b w:val="false"/>
          <w:bCs w:val="false"/>
          <w:i/>
          <w:iCs/>
        </w:rPr>
        <w:t xml:space="preserve">A Reader’s Introduction</w:t>
      </w:r>
    </w:p>
    <w:p>
      <w:pPr>
        <w:pStyle w:val="ListParagraph"/>
        <w:numPr>
          <w:ilvl w:val="0"/>
          <w:numId w:val="2"/>
        </w:numPr>
        <w:spacing w:after="100"/>
      </w:pPr>
      <w:r>
        <w:rPr>
          <w:b/>
          <w:bCs/>
          <w:i w:val="false"/>
          <w:iCs w:val="false"/>
        </w:rPr>
        <w:t xml:space="preserve">05</w:t>
      </w:r>
      <w:r>
        <w:rPr>
          <w:b w:val="false"/>
          <w:bCs w:val="false"/>
          <w:i w:val="false"/>
          <w:iCs w:val="false"/>
        </w:rPr>
        <w:t xml:space="preserve"> — </w:t>
      </w:r>
      <w:r>
        <w:rPr>
          <w:b w:val="false"/>
          <w:bCs w:val="false"/>
          <w:i/>
          <w:iCs/>
        </w:rPr>
        <w:t xml:space="preserve">Restoration and Acceleration</w:t>
      </w:r>
    </w:p>
    <w:p>
      <w:pPr>
        <w:pStyle w:val="ListParagraph"/>
        <w:numPr>
          <w:ilvl w:val="0"/>
          <w:numId w:val="2"/>
        </w:numPr>
        <w:spacing w:after="100"/>
      </w:pPr>
      <w:r>
        <w:rPr>
          <w:b/>
          <w:bCs/>
          <w:i w:val="false"/>
          <w:iCs w:val="false"/>
        </w:rPr>
        <w:t xml:space="preserve">06</w:t>
      </w:r>
      <w:r>
        <w:rPr>
          <w:b w:val="false"/>
          <w:bCs w:val="false"/>
          <w:i w:val="false"/>
          <w:iCs w:val="false"/>
        </w:rPr>
        <w:t xml:space="preserve"> — </w:t>
      </w:r>
      <w:r>
        <w:rPr>
          <w:b w:val="false"/>
          <w:bCs w:val="false"/>
          <w:i/>
          <w:iCs/>
        </w:rPr>
        <w:t xml:space="preserve">The Free Bands Principle</w:t>
      </w:r>
    </w:p>
    <w:p>
      <w:pPr>
        <w:pStyle w:val="ListParagraph"/>
        <w:numPr>
          <w:ilvl w:val="0"/>
          <w:numId w:val="2"/>
        </w:numPr>
        <w:spacing w:after="100"/>
      </w:pPr>
      <w:r>
        <w:rPr>
          <w:b/>
          <w:bCs/>
          <w:i w:val="false"/>
          <w:iCs w:val="false"/>
        </w:rPr>
        <w:t xml:space="preserve">15</w:t>
      </w:r>
      <w:r>
        <w:rPr>
          <w:b w:val="false"/>
          <w:bCs w:val="false"/>
          <w:i w:val="false"/>
          <w:iCs w:val="false"/>
        </w:rPr>
        <w:t xml:space="preserve"> — </w:t>
      </w:r>
      <w:r>
        <w:rPr>
          <w:b w:val="false"/>
          <w:bCs w:val="false"/>
          <w:i/>
          <w:iCs/>
        </w:rPr>
        <w:t xml:space="preserve">Digital Content Balance</w:t>
      </w:r>
    </w:p>
    <w:p>
      <w:pPr>
        <w:pStyle w:val="ListParagraph"/>
        <w:numPr>
          <w:ilvl w:val="0"/>
          <w:numId w:val="2"/>
        </w:numPr>
        <w:spacing w:after="100"/>
      </w:pPr>
      <w:r>
        <w:rPr>
          <w:b w:val="false"/>
          <w:bCs w:val="false"/>
          <w:i w:val="false"/>
          <w:iCs w:val="false"/>
        </w:rPr>
        <w:t xml:space="preserve">From here, the rest of the Foundational Texts (07–10) and Chamber Notes (11–12) in any order.</w:t>
      </w:r>
    </w:p>
    <w:p>
      <w:pPr>
        <w:pStyle w:val="Heading2"/>
      </w:pPr>
      <w:r>
        <w:rPr>
          <w:b w:val="false"/>
          <w:bCs w:val="false"/>
          <w:i w:val="false"/>
          <w:iCs w:val="false"/>
        </w:rPr>
        <w:t xml:space="preserve">The devotional path</w:t>
      </w:r>
    </w:p>
    <w:p>
      <w:pPr>
        <w:spacing w:after="140"/>
      </w:pPr>
      <w:r>
        <w:rPr>
          <w:b w:val="false"/>
          <w:bCs w:val="false"/>
          <w:i/>
          <w:iCs/>
        </w:rPr>
        <w:t xml:space="preserve">For readers who want to encounter the practice directly.</w:t>
      </w:r>
    </w:p>
    <w:p>
      <w:pPr>
        <w:pStyle w:val="ListParagraph"/>
        <w:numPr>
          <w:ilvl w:val="0"/>
          <w:numId w:val="2"/>
        </w:numPr>
        <w:spacing w:after="100"/>
      </w:pPr>
      <w:r>
        <w:rPr>
          <w:b/>
          <w:bCs/>
          <w:i w:val="false"/>
          <w:iCs w:val="false"/>
        </w:rPr>
        <w:t xml:space="preserve">02</w:t>
      </w:r>
      <w:r>
        <w:rPr>
          <w:b w:val="false"/>
          <w:bCs w:val="false"/>
          <w:i w:val="false"/>
          <w:iCs w:val="false"/>
        </w:rPr>
        <w:t xml:space="preserve"> — </w:t>
      </w:r>
      <w:r>
        <w:rPr>
          <w:b w:val="false"/>
          <w:bCs w:val="false"/>
          <w:i/>
          <w:iCs/>
        </w:rPr>
        <w:t xml:space="preserve">A Reader’s Introduction</w:t>
      </w:r>
    </w:p>
    <w:p>
      <w:pPr>
        <w:pStyle w:val="ListParagraph"/>
        <w:numPr>
          <w:ilvl w:val="0"/>
          <w:numId w:val="2"/>
        </w:numPr>
        <w:spacing w:after="100"/>
      </w:pPr>
      <w:r>
        <w:rPr>
          <w:b/>
          <w:bCs/>
          <w:i w:val="false"/>
          <w:iCs w:val="false"/>
        </w:rPr>
        <w:t xml:space="preserve">14</w:t>
      </w:r>
      <w:r>
        <w:rPr>
          <w:b w:val="false"/>
          <w:bCs w:val="false"/>
          <w:i w:val="false"/>
          <w:iCs w:val="false"/>
        </w:rPr>
        <w:t xml:space="preserve"> — </w:t>
      </w:r>
      <w:r>
        <w:rPr>
          <w:b w:val="false"/>
          <w:bCs w:val="false"/>
          <w:i/>
          <w:iCs/>
        </w:rPr>
        <w:t xml:space="preserve">The Biblical Blooming Guide (Refreshed)</w:t>
      </w:r>
    </w:p>
    <w:p>
      <w:pPr>
        <w:pStyle w:val="ListParagraph"/>
        <w:numPr>
          <w:ilvl w:val="0"/>
          <w:numId w:val="2"/>
        </w:numPr>
        <w:spacing w:after="100"/>
      </w:pPr>
      <w:r>
        <w:rPr>
          <w:b w:val="false"/>
          <w:bCs w:val="false"/>
          <w:i w:val="false"/>
          <w:iCs w:val="false"/>
        </w:rPr>
        <w:t xml:space="preserve">Three or four blooms from </w:t>
      </w:r>
      <w:r>
        <w:rPr>
          <w:b/>
          <w:bCs/>
          <w:i w:val="false"/>
          <w:iCs w:val="false"/>
        </w:rPr>
        <w:t xml:space="preserve">19</w:t>
      </w:r>
      <w:r>
        <w:rPr>
          <w:b w:val="false"/>
          <w:bCs w:val="false"/>
          <w:i w:val="false"/>
          <w:iCs w:val="false"/>
        </w:rPr>
        <w:t xml:space="preserve"> — </w:t>
      </w:r>
      <w:r>
        <w:rPr>
          <w:b w:val="false"/>
          <w:bCs w:val="false"/>
          <w:i/>
          <w:iCs/>
        </w:rPr>
        <w:t xml:space="preserve">The Bloom Book</w:t>
      </w:r>
      <w:r>
        <w:rPr>
          <w:b w:val="false"/>
          <w:bCs w:val="false"/>
          <w:i w:val="false"/>
          <w:iCs w:val="false"/>
        </w:rPr>
        <w:t xml:space="preserve"> — recommended first reads: </w:t>
      </w:r>
      <w:r>
        <w:rPr>
          <w:b w:val="false"/>
          <w:bCs w:val="false"/>
          <w:i/>
          <w:iCs/>
        </w:rPr>
        <w:t xml:space="preserve">Psalm 46:10 — Harpu</w:t>
      </w:r>
      <w:r>
        <w:rPr>
          <w:b w:val="false"/>
          <w:bCs w:val="false"/>
          <w:i w:val="false"/>
          <w:iCs w:val="false"/>
        </w:rPr>
        <w:t xml:space="preserve">, </w:t>
      </w:r>
      <w:r>
        <w:rPr>
          <w:b w:val="false"/>
          <w:bCs w:val="false"/>
          <w:i/>
          <w:iCs/>
        </w:rPr>
        <w:t xml:space="preserve">Romans 10:9 — Kyrios Iēsous</w:t>
      </w:r>
      <w:r>
        <w:rPr>
          <w:b w:val="false"/>
          <w:bCs w:val="false"/>
          <w:i w:val="false"/>
          <w:iCs w:val="false"/>
        </w:rPr>
        <w:t xml:space="preserve">, </w:t>
      </w:r>
      <w:r>
        <w:rPr>
          <w:b w:val="false"/>
          <w:bCs w:val="false"/>
          <w:i/>
          <w:iCs/>
        </w:rPr>
        <w:t xml:space="preserve">Psalm 121 for the Caregiver</w:t>
      </w:r>
      <w:r>
        <w:rPr>
          <w:b w:val="false"/>
          <w:bCs w:val="false"/>
          <w:i w:val="false"/>
          <w:iCs w:val="false"/>
        </w:rPr>
        <w:t xml:space="preserve">.</w:t>
      </w:r>
    </w:p>
    <w:p>
      <w:pPr>
        <w:pStyle w:val="ListParagraph"/>
        <w:numPr>
          <w:ilvl w:val="0"/>
          <w:numId w:val="2"/>
        </w:numPr>
        <w:spacing w:after="100"/>
      </w:pPr>
      <w:r>
        <w:rPr>
          <w:b w:val="false"/>
          <w:bCs w:val="false"/>
          <w:i w:val="false"/>
          <w:iCs w:val="false"/>
        </w:rPr>
        <w:t xml:space="preserve">The full </w:t>
      </w:r>
      <w:r>
        <w:rPr>
          <w:b w:val="false"/>
          <w:bCs w:val="false"/>
          <w:i/>
          <w:iCs/>
        </w:rPr>
        <w:t xml:space="preserve">Bloom Book</w:t>
      </w:r>
      <w:r>
        <w:rPr>
          <w:b w:val="false"/>
          <w:bCs w:val="false"/>
          <w:i w:val="false"/>
          <w:iCs w:val="false"/>
        </w:rPr>
        <w:t xml:space="preserve"> at your own pace.</w:t>
      </w:r>
    </w:p>
    <w:p>
      <w:pPr>
        <w:pStyle w:val="ListParagraph"/>
        <w:numPr>
          <w:ilvl w:val="0"/>
          <w:numId w:val="2"/>
        </w:numPr>
        <w:spacing w:after="100"/>
      </w:pPr>
      <w:r>
        <w:rPr>
          <w:b/>
          <w:bCs/>
          <w:i w:val="false"/>
          <w:iCs w:val="false"/>
        </w:rPr>
        <w:t xml:space="preserve">21</w:t>
      </w:r>
      <w:r>
        <w:rPr>
          <w:b w:val="false"/>
          <w:bCs w:val="false"/>
          <w:i w:val="false"/>
          <w:iCs w:val="false"/>
        </w:rPr>
        <w:t xml:space="preserve"> — </w:t>
      </w:r>
      <w:r>
        <w:rPr>
          <w:b w:val="false"/>
          <w:bCs w:val="false"/>
          <w:i/>
          <w:iCs/>
        </w:rPr>
        <w:t xml:space="preserve">The Free Bible — Ultra Bloomed Edition</w:t>
      </w:r>
      <w:r>
        <w:rPr>
          <w:b w:val="false"/>
          <w:bCs w:val="false"/>
          <w:i w:val="false"/>
          <w:iCs w:val="false"/>
        </w:rPr>
        <w:t xml:space="preserve"> as the integrated reading.</w:t>
      </w:r>
    </w:p>
    <w:p>
      <w:pPr>
        <w:pStyle w:val="Heading2"/>
      </w:pPr>
      <w:r>
        <w:rPr>
          <w:b w:val="false"/>
          <w:bCs w:val="false"/>
          <w:i w:val="false"/>
          <w:iCs w:val="false"/>
        </w:rPr>
        <w:t xml:space="preserve">The disciplinary path</w:t>
      </w:r>
    </w:p>
    <w:p>
      <w:pPr>
        <w:spacing w:after="140"/>
      </w:pPr>
      <w:r>
        <w:rPr>
          <w:b w:val="false"/>
          <w:bCs w:val="false"/>
          <w:i/>
          <w:iCs/>
        </w:rPr>
        <w:t xml:space="preserve">For readers interested in how the AI collaboration is calibrated.</w:t>
      </w:r>
    </w:p>
    <w:p>
      <w:pPr>
        <w:pStyle w:val="ListParagraph"/>
        <w:numPr>
          <w:ilvl w:val="0"/>
          <w:numId w:val="2"/>
        </w:numPr>
        <w:spacing w:after="100"/>
      </w:pPr>
      <w:r>
        <w:rPr>
          <w:b/>
          <w:bCs/>
          <w:i w:val="false"/>
          <w:iCs w:val="false"/>
        </w:rPr>
        <w:t xml:space="preserve">02</w:t>
      </w:r>
      <w:r>
        <w:rPr>
          <w:b w:val="false"/>
          <w:bCs w:val="false"/>
          <w:i w:val="false"/>
          <w:iCs w:val="false"/>
        </w:rPr>
        <w:t xml:space="preserve"> — </w:t>
      </w:r>
      <w:r>
        <w:rPr>
          <w:b w:val="false"/>
          <w:bCs w:val="false"/>
          <w:i/>
          <w:iCs/>
        </w:rPr>
        <w:t xml:space="preserve">A Reader’s Introduction</w:t>
      </w:r>
    </w:p>
    <w:p>
      <w:pPr>
        <w:pStyle w:val="ListParagraph"/>
        <w:numPr>
          <w:ilvl w:val="0"/>
          <w:numId w:val="2"/>
        </w:numPr>
        <w:spacing w:after="100"/>
      </w:pPr>
      <w:r>
        <w:rPr>
          <w:b/>
          <w:bCs/>
          <w:i w:val="false"/>
          <w:iCs w:val="false"/>
        </w:rPr>
        <w:t xml:space="preserve">07</w:t>
      </w:r>
      <w:r>
        <w:rPr>
          <w:b w:val="false"/>
          <w:bCs w:val="false"/>
          <w:i w:val="false"/>
          <w:iCs w:val="false"/>
        </w:rPr>
        <w:t xml:space="preserve"> — </w:t>
      </w:r>
      <w:r>
        <w:rPr>
          <w:b w:val="false"/>
          <w:bCs w:val="false"/>
          <w:i/>
          <w:iCs/>
        </w:rPr>
        <w:t xml:space="preserve">The Deep Glean</w:t>
      </w:r>
    </w:p>
    <w:p>
      <w:pPr>
        <w:pStyle w:val="ListParagraph"/>
        <w:numPr>
          <w:ilvl w:val="0"/>
          <w:numId w:val="2"/>
        </w:numPr>
        <w:spacing w:after="100"/>
      </w:pPr>
      <w:r>
        <w:rPr>
          <w:b/>
          <w:bCs/>
          <w:i w:val="false"/>
          <w:iCs w:val="false"/>
        </w:rPr>
        <w:t xml:space="preserve">11</w:t>
      </w:r>
      <w:r>
        <w:rPr>
          <w:b w:val="false"/>
          <w:bCs w:val="false"/>
          <w:i w:val="false"/>
          <w:iCs w:val="false"/>
        </w:rPr>
        <w:t xml:space="preserve"> — </w:t>
      </w:r>
      <w:r>
        <w:rPr>
          <w:b w:val="false"/>
          <w:bCs w:val="false"/>
          <w:i/>
          <w:iCs/>
        </w:rPr>
        <w:t xml:space="preserve">The Instance Architecture</w:t>
      </w:r>
    </w:p>
    <w:p>
      <w:pPr>
        <w:pStyle w:val="ListParagraph"/>
        <w:numPr>
          <w:ilvl w:val="0"/>
          <w:numId w:val="2"/>
        </w:numPr>
        <w:spacing w:after="100"/>
      </w:pPr>
      <w:r>
        <w:rPr>
          <w:b/>
          <w:bCs/>
          <w:i w:val="false"/>
          <w:iCs w:val="false"/>
        </w:rPr>
        <w:t xml:space="preserve">12</w:t>
      </w:r>
      <w:r>
        <w:rPr>
          <w:b w:val="false"/>
          <w:bCs w:val="false"/>
          <w:i w:val="false"/>
          <w:iCs w:val="false"/>
        </w:rPr>
        <w:t xml:space="preserve"> — </w:t>
      </w:r>
      <w:r>
        <w:rPr>
          <w:b w:val="false"/>
          <w:bCs w:val="false"/>
          <w:i/>
          <w:iCs/>
        </w:rPr>
        <w:t xml:space="preserve">Notes for the Next Claude</w:t>
      </w:r>
    </w:p>
    <w:p>
      <w:pPr>
        <w:pStyle w:val="ListParagraph"/>
        <w:numPr>
          <w:ilvl w:val="0"/>
          <w:numId w:val="2"/>
        </w:numPr>
        <w:spacing w:after="100"/>
      </w:pPr>
      <w:r>
        <w:rPr>
          <w:b w:val="false"/>
          <w:bCs w:val="false"/>
          <w:i w:val="false"/>
          <w:iCs w:val="false"/>
        </w:rPr>
        <w:t xml:space="preserve">From here, any of the other categories with eyes open for how the discipline operates.</w:t>
      </w:r>
    </w:p>
    <w:p>
      <w:pPr>
        <w:pStyle w:val="Heading1"/>
      </w:pPr>
      <w:r>
        <w:t xml:space="preserve">A short test for the unsure reader</w:t>
      </w:r>
    </w:p>
    <w:p>
      <w:pPr>
        <w:spacing w:after="140"/>
      </w:pPr>
      <w:r>
        <w:rPr>
          <w:b w:val="false"/>
          <w:bCs w:val="false"/>
          <w:i w:val="false"/>
          <w:iCs w:val="false"/>
        </w:rPr>
        <w:t xml:space="preserve">If you are not sure whether the corpus is for you, the shortest test is this: read </w:t>
      </w:r>
      <w:r>
        <w:rPr>
          <w:b w:val="false"/>
          <w:bCs w:val="false"/>
          <w:i/>
          <w:iCs/>
        </w:rPr>
        <w:t xml:space="preserve">A Reader’s Introduction</w:t>
      </w:r>
      <w:r>
        <w:rPr>
          <w:b w:val="false"/>
          <w:bCs w:val="false"/>
          <w:i w:val="false"/>
          <w:iCs w:val="false"/>
        </w:rPr>
        <w:t xml:space="preserve"> in full, then </w:t>
      </w:r>
      <w:r>
        <w:rPr>
          <w:b w:val="false"/>
          <w:bCs w:val="false"/>
          <w:i/>
          <w:iCs/>
        </w:rPr>
        <w:t xml:space="preserve">Bloom 17 — Romans 10:9 — Kyrios Iēsous</w:t>
      </w:r>
      <w:r>
        <w:rPr>
          <w:b w:val="false"/>
          <w:bCs w:val="false"/>
          <w:i w:val="false"/>
          <w:iCs w:val="false"/>
        </w:rPr>
        <w:t xml:space="preserve"> from </w:t>
      </w:r>
      <w:r>
        <w:rPr>
          <w:b w:val="false"/>
          <w:bCs w:val="false"/>
          <w:i/>
          <w:iCs/>
        </w:rPr>
        <w:t xml:space="preserve">The Bloom Book</w:t>
      </w:r>
      <w:r>
        <w:rPr>
          <w:b w:val="false"/>
          <w:bCs w:val="false"/>
          <w:i w:val="false"/>
          <w:iCs w:val="false"/>
        </w:rPr>
        <w:t xml:space="preserve">. If both land, the corpus is likely for you. If neither lands, the corpus is likely not for you, and that is the correct discovery; thank you for testing it.</w:t>
      </w:r>
    </w:p>
    <w:p>
      <w:pPr>
        <w:spacing w:after="30" w:before="160"/>
        <w:jc w:val="center"/>
      </w:pPr>
      <w:r>
        <w:rPr>
          <w:b w:val="false"/>
          <w:bCs w:val="false"/>
          <w:i/>
          <w:iCs/>
          <w:sz w:val="20"/>
          <w:szCs w:val="20"/>
        </w:rPr>
        <w:t xml:space="preserve">— The Lighter Rule</w:t>
      </w:r>
    </w:p>
    <w:p>
      <w:pPr>
        <w:spacing w:after="120" w:before="0"/>
        <w:jc w:val="center"/>
      </w:pPr>
      <w:r>
        <w:rPr>
          <w:b w:val="false"/>
          <w:bCs w:val="false"/>
          <w:i/>
          <w:iCs/>
          <w:color w:val="666666"/>
          <w:sz w:val="18"/>
          <w:szCs w:val="18"/>
        </w:rPr>
        <w:t xml:space="preserve">Newgate, Perth  ·  29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rlito" w:cs="Carlito" w:eastAsia="Carlito" w:hAnsi="Carlito"/>
      <w:b/>
      <w:bCs/>
      <w:color w:val="1F3864"/>
      <w:sz w:val="28"/>
      <w:szCs w:val="28"/>
    </w:rPr>
  </w:style>
  <w:style w:type="paragraph" w:styleId="Heading2">
    <w:name w:val="Heading 2"/>
    <w:basedOn w:val="Normal"/>
    <w:next w:val="Normal"/>
    <w:qFormat/>
    <w:pPr>
      <w:spacing w:after="80" w:before="180"/>
      <w:outlineLvl w:val="1"/>
    </w:pPr>
    <w:rPr>
      <w:rFonts w:ascii="Carlito" w:cs="Carlito" w:eastAsia="Carlito" w:hAnsi="Carlito"/>
      <w:b/>
      <w:bCs/>
      <w:color w:val="2E4D7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2026-05-30T13:08:14.281Z</dcterms:created>
  <dcterms:modified xsi:type="dcterms:W3CDTF">2026-05-30T13:08:14.281Z</dcterms:modified>
</cp:coreProperties>
</file>

<file path=docProps/custom.xml><?xml version="1.0" encoding="utf-8"?>
<Properties xmlns="http://schemas.openxmlformats.org/officeDocument/2006/custom-properties" xmlns:vt="http://schemas.openxmlformats.org/officeDocument/2006/docPropsVTypes"/>
</file>