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800"/>
        <w:jc w:val="center"/>
      </w:pPr>
      <w:r>
        <w:rPr>
          <w:color w:val="888888"/>
          <w:sz w:val="22"/>
          <w:szCs w:val="22"/>
        </w:rPr>
        <w:t xml:space="preserve">29</w:t>
      </w:r>
    </w:p>
    <w:p>
      <w:pPr>
        <w:spacing w:after="240"/>
        <w:jc w:val="center"/>
      </w:pPr>
      <w:r>
        <w:rPr>
          <w:b/>
          <w:bCs/>
          <w:sz w:val="56"/>
          <w:szCs w:val="56"/>
        </w:rPr>
        <w:t xml:space="preserve">The Hollowing</w:t>
      </w:r>
    </w:p>
    <w:p>
      <w:pPr>
        <w:spacing w:after="400"/>
        <w:jc w:val="center"/>
      </w:pPr>
      <w:r>
        <w:rPr>
          <w:i/>
          <w:iCs/>
          <w:sz w:val="30"/>
          <w:szCs w:val="30"/>
        </w:rPr>
        <w:t xml:space="preserve">A Diagnostic Across Domains</w:t>
      </w:r>
    </w:p>
    <w:p>
      <w:pPr>
        <w:spacing w:after="480"/>
        <w:jc w:val="center"/>
      </w:pPr>
      <w:r>
        <w:rPr>
          <w:i/>
          <w:iCs/>
          <w:sz w:val="22"/>
          <w:szCs w:val="22"/>
        </w:rPr>
        <w:t xml:space="preserve">What gets removed when the form stays the same, and what the substantive counter-offer looks like</w:t>
      </w:r>
    </w:p>
    <w:p>
      <w:pPr>
        <w:spacing w:after="80"/>
        <w:jc w:val="center"/>
      </w:pPr>
      <w:r>
        <w:rPr>
          <w:sz w:val="22"/>
          <w:szCs w:val="22"/>
        </w:rPr>
        <w:t xml:space="preserve">Diagnostic developed by Paul, documented by The Cartographer (Miss Claudé)</w:t>
      </w:r>
    </w:p>
    <w:p>
      <w:pPr>
        <w:spacing w:after="600"/>
        <w:jc w:val="center"/>
      </w:pPr>
      <w:r>
        <w:rPr>
          <w:sz w:val="22"/>
          <w:szCs w:val="22"/>
        </w:rPr>
        <w:t xml:space="preserve">12 June 2026 · Newgate, Perth</w:t>
      </w:r>
    </w:p>
    <w:p>
      <w:pPr>
        <w:spacing w:after="200"/>
        <w:jc w:val="center"/>
      </w:pPr>
      <w:r>
        <w:rPr>
          <w:i/>
          <w:iCs/>
          <w:sz w:val="22"/>
          <w:szCs w:val="22"/>
        </w:rPr>
        <w:t xml:space="preserve">A working document of the chamber-tradition.</w:t>
      </w:r>
    </w:p>
    <w:p>
      <w:pPr>
        <w:spacing w:after="200"/>
        <w:jc w:val="center"/>
      </w:pPr>
      <w:r>
        <w:rPr>
          <w:i/>
          <w:iCs/>
          <w:sz w:val="22"/>
          <w:szCs w:val="22"/>
        </w:rPr>
        <w:t xml:space="preserve">Public Edition.</w:t>
      </w:r>
    </w:p>
    <w:p>
      <w:r>
        <w:br w:type="page"/>
      </w:r>
    </w:p>
    <w:p>
      <w:pPr>
        <w:spacing w:before="600"/>
      </w:pPr>
    </w:p>
    <w:p>
      <w:pPr>
        <w:spacing w:after="280" w:before="280"/>
        <w:jc w:val="center"/>
      </w:pPr>
      <w:r>
        <w:rPr>
          <w:i/>
          <w:iCs/>
          <w:sz w:val="28"/>
          <w:szCs w:val="28"/>
        </w:rPr>
        <w:t xml:space="preserve">Form maintained while substance is removed,</w:t>
      </w:r>
    </w:p>
    <w:p>
      <w:pPr>
        <w:spacing w:after="280" w:before="280"/>
        <w:jc w:val="center"/>
      </w:pPr>
      <w:r>
        <w:rPr>
          <w:i/>
          <w:iCs/>
          <w:sz w:val="28"/>
          <w:szCs w:val="28"/>
        </w:rPr>
        <w:t xml:space="preserve">then the experience-architecture is monetised</w:t>
      </w:r>
    </w:p>
    <w:p>
      <w:pPr>
        <w:spacing w:after="280" w:before="280"/>
        <w:jc w:val="center"/>
      </w:pPr>
      <w:r>
        <w:rPr>
          <w:i/>
          <w:iCs/>
          <w:sz w:val="28"/>
          <w:szCs w:val="28"/>
        </w:rPr>
        <w:t xml:space="preserve">around the missing core.</w:t>
      </w:r>
    </w:p>
    <w:p>
      <w:pPr>
        <w:spacing w:after="600" w:before="240"/>
        <w:jc w:val="center"/>
      </w:pPr>
      <w:r>
        <w:rPr>
          <w:sz w:val="20"/>
          <w:szCs w:val="20"/>
        </w:rPr>
        <w:t xml:space="preserve">— The operation, in one sentence.</w:t>
      </w:r>
    </w:p>
    <w:p>
      <w:r>
        <w:br w:type="page"/>
      </w:r>
    </w:p>
    <w:p>
      <w:pPr>
        <w:pStyle w:val="Heading1"/>
        <w:spacing w:after="320" w:before="600"/>
      </w:pPr>
      <w:r>
        <w:rPr>
          <w:b/>
          <w:bCs/>
          <w:sz w:val="40"/>
          <w:szCs w:val="40"/>
        </w:rPr>
        <w:t xml:space="preserve">Prologue</w:t>
      </w:r>
    </w:p>
    <w:p>
      <w:pPr>
        <w:spacing w:after="180"/>
      </w:pPr>
      <w:r>
        <w:t xml:space="preserve">This document is a diagnostic. It names an operation that has been observed across many domains over a long period and that has finally surfaced as a unified pattern under a single name. The unifying name — </w:t>
      </w:r>
      <w:r>
        <w:rPr>
          <w:i/>
          <w:iCs/>
        </w:rPr>
        <w:t xml:space="preserve">The Hollowing</w:t>
      </w:r>
      <w:r>
        <w:t xml:space="preserve"> — is recent. The operation it names is not.</w:t>
      </w:r>
    </w:p>
    <w:p>
      <w:pPr>
        <w:spacing w:after="180"/>
      </w:pPr>
      <w:r>
        <w:t xml:space="preserve">The Hollowing is not a conspiracy. It is not the work of a designing intelligence with a coordinated plan. It is an emergent operation, selected for by a particular combination of monetary, technological, and behavioural conditions, that produces consistent outcomes across very different domains. Where the same operation appears in restaurants and in Bible apps, in television and in family subsidy patterns, in central banks and in school architecture, the reading is that something structural — not something planned — is at work.</w:t>
      </w:r>
    </w:p>
    <w:p>
      <w:pPr>
        <w:spacing w:after="180"/>
      </w:pPr>
      <w:r>
        <w:t xml:space="preserve">The document proceeds in eight parts. Part One names the master operation. Part Two enumerates the sub-operations the master operation includes. Part Three works through the domains, showing how the operation expresses in each. Part Four presents the colour-key taxonomy as a diagnostic tool. Part Five offers the tests that can be applied to candidate systems. Part Six names the counter-offers — what substantive alternatives propose against The Hollowing. Part Seven situates the work within the lineage of thinkers who have observed pieces of the pattern previously. Part Eight names the limit-case markers — the conditions under which the operation finally consumes itself.</w:t>
      </w:r>
    </w:p>
    <w:p>
      <w:pPr>
        <w:spacing w:after="180"/>
      </w:pPr>
      <w:r>
        <w:t xml:space="preserve">The posture toward the operation is not despair. It is not denial. It is not contempt for the participants — most of whom are not aware they are participating. The posture is </w:t>
      </w:r>
      <w:r>
        <w:rPr>
          <w:i/>
          <w:iCs/>
        </w:rPr>
        <w:t xml:space="preserve">substantive counter-offer</w:t>
      </w:r>
      <w:r>
        <w:t xml:space="preserve">. To name the operation precisely is the first step in offering something else. This document is part of that step.</w:t>
      </w:r>
    </w:p>
    <w:p>
      <w:r>
        <w:br w:type="page"/>
      </w:r>
    </w:p>
    <w:p>
      <w:pPr>
        <w:spacing w:after="80" w:before="200"/>
        <w:jc w:val="center"/>
      </w:pPr>
      <w:r>
        <w:rPr>
          <w:i/>
          <w:iCs/>
          <w:color w:val="555555"/>
          <w:sz w:val="22"/>
          <w:szCs w:val="22"/>
        </w:rPr>
        <w:t xml:space="preserve">PART ONE</w:t>
      </w:r>
    </w:p>
    <w:p>
      <w:pPr>
        <w:pStyle w:val="Heading1"/>
        <w:spacing w:after="320" w:before="600"/>
      </w:pPr>
      <w:r>
        <w:rPr>
          <w:b/>
          <w:bCs/>
          <w:sz w:val="40"/>
          <w:szCs w:val="40"/>
        </w:rPr>
        <w:t xml:space="preserve">The Master Diagnostic</w:t>
      </w:r>
    </w:p>
    <w:p>
      <w:pPr>
        <w:pStyle w:val="Heading2"/>
        <w:spacing w:after="200" w:before="440"/>
      </w:pPr>
      <w:r>
        <w:rPr>
          <w:b/>
          <w:bCs/>
          <w:sz w:val="30"/>
          <w:szCs w:val="30"/>
        </w:rPr>
        <w:t xml:space="preserve">The Operation</w:t>
      </w:r>
    </w:p>
    <w:p>
      <w:pPr>
        <w:spacing w:after="180"/>
      </w:pPr>
      <w:r>
        <w:t xml:space="preserve">The Hollowing names a unified operation observed across domains. The operation has three structural moves, performed in sequence, sometimes over years, sometimes over decades, occasionally within a single product cycle:</w:t>
      </w:r>
    </w:p>
    <w:p>
      <w:pPr>
        <w:pStyle w:val="ListParagraph"/>
        <w:numPr>
          <w:ilvl w:val="0"/>
          <w:numId w:val="2"/>
        </w:numPr>
        <w:spacing w:after="100"/>
      </w:pPr>
      <w:r>
        <w:rPr>
          <w:i/>
          <w:iCs/>
        </w:rPr>
        <w:t xml:space="preserve">Form is maintained.</w:t>
      </w:r>
      <w:r>
        <w:t xml:space="preserve"> The outward shape of the thing — its name, its setting, its expected delivery — is preserved. The customer continues to recognise what they came for; the institution continues to call itself by its established name.</w:t>
      </w:r>
    </w:p>
    <w:p>
      <w:pPr>
        <w:pStyle w:val="ListParagraph"/>
        <w:numPr>
          <w:ilvl w:val="0"/>
          <w:numId w:val="2"/>
        </w:numPr>
        <w:spacing w:after="100"/>
      </w:pPr>
      <w:r>
        <w:rPr>
          <w:i/>
          <w:iCs/>
        </w:rPr>
        <w:t xml:space="preserve">Substance is removed.</w:t>
      </w:r>
      <w:r>
        <w:t xml:space="preserve"> Quietly, incrementally, the actual content the form was meant to deliver is reduced, diluted, or replaced. The reduction is not announced. It is calibrated to remain just below the threshold at which the customer would notice and revolt.</w:t>
      </w:r>
    </w:p>
    <w:p>
      <w:pPr>
        <w:pStyle w:val="ListParagraph"/>
        <w:numPr>
          <w:ilvl w:val="0"/>
          <w:numId w:val="2"/>
        </w:numPr>
        <w:spacing w:after="100"/>
      </w:pPr>
      <w:r>
        <w:rPr>
          <w:i/>
          <w:iCs/>
        </w:rPr>
        <w:t xml:space="preserve">The experience-architecture is monetised around the missing core.</w:t>
      </w:r>
      <w:r>
        <w:t xml:space="preserve"> The institution then sells access to the form, monetises adjacent surfaces (advertising, subscription, upsells, premium-tiers), and extracts value from the customer's continued attendance — even though the substance that justified attendance is no longer there.</w:t>
      </w:r>
    </w:p>
    <w:p>
      <w:pPr>
        <w:spacing w:after="180"/>
      </w:pPr>
      <w:r>
        <w:t xml:space="preserve">The customer pays for the form, expecting the substance, receives only the form, and leaves wanting. The wanting drives them back. The cycle is the business model.</w:t>
      </w:r>
    </w:p>
    <w:p>
      <w:pPr>
        <w:pStyle w:val="Heading2"/>
        <w:spacing w:after="200" w:before="440"/>
      </w:pPr>
      <w:r>
        <w:rPr>
          <w:b/>
          <w:bCs/>
          <w:sz w:val="30"/>
          <w:szCs w:val="30"/>
        </w:rPr>
        <w:t xml:space="preserve">The Signature</w:t>
      </w:r>
    </w:p>
    <w:p>
      <w:pPr>
        <w:spacing w:after="180"/>
      </w:pPr>
      <w:r>
        <w:t xml:space="preserve">The Hollowing has visible signatures. When several appear together in a single domain, the diagnostic is operational:</w:t>
      </w:r>
    </w:p>
    <w:p>
      <w:pPr>
        <w:pStyle w:val="ListParagraph"/>
        <w:numPr>
          <w:ilvl w:val="0"/>
          <w:numId w:val="2"/>
        </w:numPr>
        <w:spacing w:after="100"/>
      </w:pPr>
      <w:r>
        <w:rPr>
          <w:i/>
          <w:iCs/>
        </w:rPr>
        <w:t xml:space="preserve">The institution excels at everything around the thing</w:t>
      </w:r>
      <w:r>
        <w:t xml:space="preserve">, while the thing itself is quietly degraded. A fast-food chain excels at app loyalty programs, drive-thru turnover times, branded toy partnerships, marketing reach — all surfaces that are not </w:t>
      </w:r>
      <w:r>
        <w:rPr>
          <w:i/>
          <w:iCs/>
        </w:rPr>
        <w:t xml:space="preserve">the food</w:t>
      </w:r>
      <w:r>
        <w:t xml:space="preserve">. The customer came for the food.</w:t>
      </w:r>
    </w:p>
    <w:p>
      <w:pPr>
        <w:pStyle w:val="ListParagraph"/>
        <w:numPr>
          <w:ilvl w:val="0"/>
          <w:numId w:val="2"/>
        </w:numPr>
        <w:spacing w:after="100"/>
      </w:pPr>
      <w:r>
        <w:rPr>
          <w:i/>
          <w:iCs/>
        </w:rPr>
        <w:t xml:space="preserve">The pricing model shifts toward subscription, ad-revenue, premium-tier upcharges</w:t>
      </w:r>
      <w:r>
        <w:t xml:space="preserve">, and away from straight payment for substance. The pricing change is itself diagnostic: it signals that the institution can no longer rely on the substance alone to justify the transaction.</w:t>
      </w:r>
    </w:p>
    <w:p>
      <w:pPr>
        <w:pStyle w:val="ListParagraph"/>
        <w:numPr>
          <w:ilvl w:val="0"/>
          <w:numId w:val="2"/>
        </w:numPr>
        <w:spacing w:after="100"/>
      </w:pPr>
      <w:r>
        <w:rPr>
          <w:i/>
          <w:iCs/>
        </w:rPr>
        <w:t xml:space="preserve">The customer experience becomes increasingly designed and decreasingly satisfying</w:t>
      </w:r>
      <w:r>
        <w:t xml:space="preserve">. Calibrated lighting, calibrated music, calibrated furniture, calibrated app-friction, calibrated notifications — the deliberate engineering of the experience grows as the substance of the experience shrinks.</w:t>
      </w:r>
    </w:p>
    <w:p>
      <w:pPr>
        <w:pStyle w:val="ListParagraph"/>
        <w:numPr>
          <w:ilvl w:val="0"/>
          <w:numId w:val="2"/>
        </w:numPr>
        <w:spacing w:after="100"/>
      </w:pPr>
      <w:r>
        <w:rPr>
          <w:i/>
          <w:iCs/>
        </w:rPr>
        <w:t xml:space="preserve">The institution's own language shifts toward optimisation-vocabulary</w:t>
      </w:r>
      <w:r>
        <w:t xml:space="preserve"> and away from substance-vocabulary. Talk of </w:t>
      </w:r>
      <w:r>
        <w:rPr>
          <w:i/>
          <w:iCs/>
        </w:rPr>
        <w:t xml:space="preserve">engagement metrics</w:t>
      </w:r>
      <w:r>
        <w:t xml:space="preserve">, </w:t>
      </w:r>
      <w:r>
        <w:rPr>
          <w:i/>
          <w:iCs/>
        </w:rPr>
        <w:t xml:space="preserve">conversion rates</w:t>
      </w:r>
      <w:r>
        <w:t xml:space="preserve">, </w:t>
      </w:r>
      <w:r>
        <w:rPr>
          <w:i/>
          <w:iCs/>
        </w:rPr>
        <w:t xml:space="preserve">customer journey</w:t>
      </w:r>
      <w:r>
        <w:t xml:space="preserve">, </w:t>
      </w:r>
      <w:r>
        <w:rPr>
          <w:i/>
          <w:iCs/>
        </w:rPr>
        <w:t xml:space="preserve">touchpoints</w:t>
      </w:r>
      <w:r>
        <w:t xml:space="preserve"> — these are the terms of a system that has moved away from delivering substance toward extracting attention.</w:t>
      </w:r>
    </w:p>
    <w:p>
      <w:pPr>
        <w:pStyle w:val="ListParagraph"/>
        <w:numPr>
          <w:ilvl w:val="0"/>
          <w:numId w:val="2"/>
        </w:numPr>
        <w:spacing w:after="100"/>
      </w:pPr>
      <w:r>
        <w:rPr>
          <w:i/>
          <w:iCs/>
        </w:rPr>
        <w:t xml:space="preserve">The customer reports leaving wanting</w:t>
      </w:r>
      <w:r>
        <w:t xml:space="preserve"> — not satiated, not satisfied, but with an unnamed residual hunger that drives them back. The wanting is the product.</w:t>
      </w:r>
    </w:p>
    <w:p>
      <w:pPr>
        <w:pStyle w:val="Heading2"/>
        <w:spacing w:after="200" w:before="440"/>
      </w:pPr>
      <w:r>
        <w:rPr>
          <w:b/>
          <w:bCs/>
          <w:sz w:val="30"/>
          <w:szCs w:val="30"/>
        </w:rPr>
        <w:t xml:space="preserve">Why It Persists</w:t>
      </w:r>
    </w:p>
    <w:p>
      <w:pPr>
        <w:spacing w:after="180"/>
      </w:pPr>
      <w:r>
        <w:t xml:space="preserve">The Hollowing persists because the conditions that produce it are not contingent. They are structural to the current monetary, technological, and corporate environment. But these conditions are not equal in causal weight — one of them is the root force from which the others derive.</w:t>
      </w:r>
    </w:p>
    <w:p>
      <w:pPr>
        <w:pStyle w:val="Heading3"/>
        <w:spacing w:after="140" w:before="280"/>
      </w:pPr>
      <w:r>
        <w:rPr>
          <w:b/>
          <w:bCs/>
          <w:i/>
          <w:iCs/>
          <w:sz w:val="26"/>
          <w:szCs w:val="26"/>
        </w:rPr>
        <w:t xml:space="preserve">The Primary Force — Vapour Money</w:t>
      </w:r>
    </w:p>
    <w:p>
      <w:pPr>
        <w:spacing w:after="180"/>
      </w:pPr>
      <w:r>
        <w:t xml:space="preserve">Beneath every other structural condition sits the monetary substrate. </w:t>
      </w:r>
      <w:r>
        <w:rPr>
          <w:i/>
          <w:iCs/>
        </w:rPr>
        <w:t xml:space="preserve">Vapour money is the root cause of The Hollowing.</w:t>
      </w:r>
      <w:r>
        <w:t xml:space="preserve"> When the units of payment can be created at the keystroke and inflate continuously — when a currency loses ninety-six percent of its purchasing power across a century of official statistics, and the actual decline is worse — the entire incentive landscape downstream of that currency is reshaped around extraction, short time-horizons, and the urgent pursuit of nominal returns to outrun the melt. </w:t>
      </w:r>
      <w:r>
        <w:rPr>
          <w:i/>
          <w:iCs/>
        </w:rPr>
        <w:t xml:space="preserve">The hollowing operation is what businesses, institutions, and policies look like when the money beneath them is wasting at four to five percent per year, every year, with no escape.</w:t>
      </w:r>
    </w:p>
    <w:p>
      <w:pPr>
        <w:spacing w:after="180"/>
      </w:pPr>
      <w:r>
        <w:t xml:space="preserve">Substance-delivery requires patience, craftsmanship, long-term reinvestment, and trust in the future value of stored effort. </w:t>
      </w:r>
      <w:r>
        <w:rPr>
          <w:i/>
          <w:iCs/>
        </w:rPr>
        <w:t xml:space="preserve">None of these survives a currency that punishes saving and rewards leverage.</w:t>
      </w:r>
      <w:r>
        <w:t xml:space="preserve"> The substance-delivering business is bought by the extractive competitor and re-tooled. The substance-delivering institution loses funding to the institution that produces optimised metrics for inflation-hedging capital. The substance-delivering policy is undercut by the policy that promises shorter-term help in nominal terms. The substance loses to the form because the substance was anchored in a temporal horizon the money no longer allows.</w:t>
      </w:r>
    </w:p>
    <w:p>
      <w:pPr>
        <w:spacing w:after="180"/>
      </w:pPr>
      <w:r>
        <w:t xml:space="preserve">Various traditions name this differently: bitcoin maximalists call it </w:t>
      </w:r>
      <w:r>
        <w:rPr>
          <w:i/>
          <w:iCs/>
        </w:rPr>
        <w:t xml:space="preserve">the time-theft of fiat</w:t>
      </w:r>
      <w:r>
        <w:t xml:space="preserve">; Austrian economists call it </w:t>
      </w:r>
      <w:r>
        <w:rPr>
          <w:i/>
          <w:iCs/>
        </w:rPr>
        <w:t xml:space="preserve">the Cantillon effect</w:t>
      </w:r>
      <w:r>
        <w:t xml:space="preserve">; the compressed form: </w:t>
      </w:r>
      <w:r>
        <w:rPr>
          <w:i/>
          <w:iCs/>
        </w:rPr>
        <w:t xml:space="preserve">when the unit of measure wastes, everything measured in it wastes correspondingly</w:t>
      </w:r>
      <w:r>
        <w:t xml:space="preserve">. The Hollowing is the visible-domain expression of that wasting, in restaurants and apps and television and policy and family formation. </w:t>
      </w:r>
      <w:r>
        <w:rPr>
          <w:i/>
          <w:iCs/>
        </w:rPr>
        <w:t xml:space="preserve">Restore the unit of measure and the operation loses its persistent fuel.</w:t>
      </w:r>
    </w:p>
    <w:p>
      <w:pPr>
        <w:pStyle w:val="Heading3"/>
        <w:spacing w:after="140" w:before="280"/>
      </w:pPr>
      <w:r>
        <w:rPr>
          <w:b/>
          <w:bCs/>
          <w:i/>
          <w:iCs/>
          <w:sz w:val="26"/>
          <w:szCs w:val="26"/>
        </w:rPr>
        <w:t xml:space="preserve">The Four Downstream Conditions</w:t>
      </w:r>
    </w:p>
    <w:p>
      <w:pPr>
        <w:spacing w:after="180"/>
      </w:pPr>
      <w:r>
        <w:t xml:space="preserve">The other four structural conditions are real but derivative — each is a visible branch of the vapour-money root:</w:t>
      </w:r>
    </w:p>
    <w:p>
      <w:pPr>
        <w:pStyle w:val="ListParagraph"/>
        <w:numPr>
          <w:ilvl w:val="0"/>
          <w:numId w:val="2"/>
        </w:numPr>
        <w:spacing w:after="100"/>
      </w:pPr>
      <w:r>
        <w:rPr>
          <w:i/>
          <w:iCs/>
        </w:rPr>
        <w:t xml:space="preserve">Quarterly reporting cycles compress corporate time-horizons</w:t>
      </w:r>
      <w:r>
        <w:t xml:space="preserve"> because future cash flows discount heavily under inflation. The CEO who hollows the product for next quarter's earnings outperforms the CEO who invests in next decade's substance because the next decade's nominal returns will be worth fractions of today's in real purchasing power. </w:t>
      </w:r>
      <w:r>
        <w:rPr>
          <w:i/>
          <w:iCs/>
        </w:rPr>
        <w:t xml:space="preserve">The compression of time-horizons is itself a downstream effect of the monetary debasement that makes long horizons economically irrational.</w:t>
      </w:r>
    </w:p>
    <w:p>
      <w:pPr>
        <w:pStyle w:val="ListParagraph"/>
        <w:numPr>
          <w:ilvl w:val="0"/>
          <w:numId w:val="2"/>
        </w:numPr>
        <w:spacing w:after="100"/>
      </w:pPr>
      <w:r>
        <w:rPr>
          <w:i/>
          <w:iCs/>
        </w:rPr>
        <w:t xml:space="preserve">Algorithmic measurement of customer behaviour identifies the threshold at which hollowing produces revolt</w:t>
      </w:r>
      <w:r>
        <w:t xml:space="preserve">, and stops the hollowing just below it. The institution learns, in real time, how much substance it can remove without losing the customer. This algorithmic capacity exists because inflation-hedging capital flooded into the technology sector seeking returns money couldn't otherwise provide; the data infrastructure that hollows is funded by the same monetary dynamic that drives the hollowing.</w:t>
      </w:r>
    </w:p>
    <w:p>
      <w:pPr>
        <w:pStyle w:val="ListParagraph"/>
        <w:numPr>
          <w:ilvl w:val="0"/>
          <w:numId w:val="2"/>
        </w:numPr>
        <w:spacing w:after="100"/>
      </w:pPr>
      <w:r>
        <w:rPr>
          <w:i/>
          <w:iCs/>
        </w:rPr>
        <w:t xml:space="preserve">Institutional memory of what the substance was decays across generations</w:t>
      </w:r>
      <w:r>
        <w:t xml:space="preserve">, because employee turnover accelerates as workers chase wage-compensation for inflation. The new employees never knew the un-hollowed version; the comparison-baseline is lost. The acceleration of turnover is itself a downstream effect of the monetary substrate.</w:t>
      </w:r>
    </w:p>
    <w:p>
      <w:pPr>
        <w:pStyle w:val="ListParagraph"/>
        <w:numPr>
          <w:ilvl w:val="0"/>
          <w:numId w:val="2"/>
        </w:numPr>
        <w:spacing w:after="100"/>
      </w:pPr>
      <w:r>
        <w:rPr>
          <w:i/>
          <w:iCs/>
        </w:rPr>
        <w:t xml:space="preserve">Discourse mechanisms that would name the hollowing are themselves hollowed.</w:t>
      </w:r>
      <w:r>
        <w:t xml:space="preserve"> The media that would report it is funded by the institutions doing it; the academia that would study it is captured by the same funding ecosystem; the regulators are revolved through the institutions. These captures are possible because the institutions doing them have the inflation-funded resources to capture. </w:t>
      </w:r>
      <w:r>
        <w:rPr>
          <w:i/>
          <w:iCs/>
        </w:rPr>
        <w:t xml:space="preserve">Captured discourse is monetary-debasement expressed at the institutional layer.</w:t>
      </w:r>
    </w:p>
    <w:p>
      <w:pPr>
        <w:spacing w:after="180"/>
      </w:pPr>
      <w:r>
        <w:t xml:space="preserve">Each of the four downstream conditions is real and operationally important. But each can be traced upstream to the monetary substrate. </w:t>
      </w:r>
      <w:r>
        <w:rPr>
          <w:i/>
          <w:iCs/>
        </w:rPr>
        <w:t xml:space="preserve">Fiat money is the deepest root; the other conditions are the visible branches.</w:t>
      </w:r>
      <w:r>
        <w:t xml:space="preserve"> Counter-offers that address the branches without addressing the root will produce partial, temporary, branch-specific repairs. Counter-offers that address the root open the possibility of structural repair across the entire operation.</w:t>
      </w:r>
    </w:p>
    <w:p>
      <w:pPr>
        <w:spacing w:after="280" w:before="280"/>
        <w:jc w:val="center"/>
      </w:pPr>
      <w:r>
        <w:rPr>
          <w:i/>
          <w:iCs/>
          <w:sz w:val="28"/>
          <w:szCs w:val="28"/>
        </w:rPr>
        <w:t xml:space="preserve">Once you see the operation, you cannot un-see it.</w:t>
      </w:r>
    </w:p>
    <w:p>
      <w:pPr>
        <w:pStyle w:val="Heading2"/>
        <w:spacing w:after="200" w:before="440"/>
      </w:pPr>
      <w:r>
        <w:rPr>
          <w:b/>
          <w:bCs/>
          <w:sz w:val="30"/>
          <w:szCs w:val="30"/>
        </w:rPr>
        <w:t xml:space="preserve">The Three-Element Invisibility Cloak</w:t>
      </w:r>
    </w:p>
    <w:p>
      <w:pPr>
        <w:spacing w:after="180"/>
      </w:pPr>
      <w:r>
        <w:t xml:space="preserve">Beneath the structural conditions sits a finer-grained mechanism: the three-element operation by which The Hollowing evades public diagnosis. Where the structural conditions explain why the operation keeps producing itself, the invisibility cloak explains why the population doesn't see it happening.</w:t>
      </w:r>
    </w:p>
    <w:p>
      <w:pPr>
        <w:pStyle w:val="ListParagraph"/>
        <w:numPr>
          <w:ilvl w:val="0"/>
          <w:numId w:val="2"/>
        </w:numPr>
        <w:spacing w:after="100"/>
      </w:pPr>
      <w:r>
        <w:rPr>
          <w:i/>
          <w:iCs/>
        </w:rPr>
        <w:t xml:space="preserve">Opacity.</w:t>
      </w:r>
      <w:r>
        <w:t xml:space="preserve"> The mechanism is not complicated — it is hidden in plain sight. Modern money creation is a working example. The Bank of England's 2014 Quarterly Bulletin paper </w:t>
      </w:r>
      <w:r>
        <w:rPr>
          <w:i/>
          <w:iCs/>
        </w:rPr>
        <w:t xml:space="preserve">Money Creation in the Modern Economy</w:t>
      </w:r>
      <w:r>
        <w:t xml:space="preserve"> (McLeay, Radia, and Thomas) states explicitly that commercial bank lending creates new deposits — i.e., that money is created by the act of lending, not lent out from pre-existing reserves. The paper is published by the central bank itself, in plain English, freely available. The mechanism is documented by the establishment that operates it. Yet the public discourse continues to treat banking as deposit-intermediation, treats lending as a transfer of existing money, and treats those who name the actual mechanism as conspiracy theorists. </w:t>
      </w:r>
      <w:r>
        <w:rPr>
          <w:i/>
          <w:iCs/>
        </w:rPr>
        <w:t xml:space="preserve">The system explains itself accurately; the explanation is willfully unread.</w:t>
      </w:r>
      <w:r>
        <w:t xml:space="preserve"> Opacity here is not institutional secrecy; it is selective public attention combined with educational-system failure. Form (transparency, disclosure) maintained; substance (public understanding) hollowed.</w:t>
      </w:r>
    </w:p>
    <w:p>
      <w:pPr>
        <w:pStyle w:val="ListParagraph"/>
        <w:numPr>
          <w:ilvl w:val="0"/>
          <w:numId w:val="2"/>
        </w:numPr>
        <w:spacing w:after="100"/>
      </w:pPr>
      <w:r>
        <w:rPr>
          <w:i/>
          <w:iCs/>
        </w:rPr>
        <w:t xml:space="preserve">Dispersal.</w:t>
      </w:r>
      <w:r>
        <w:t xml:space="preserve"> The consequences of any single hollowing event are spread across the entire affected population, in tiny shares per person, such that no single person feels the harm sharply enough to act on it. Each currency holder eats a tiny share of each new lending event's purchasing-power dilution. Each customer of a hollowed product experiences a small disappointment, not a clear injury. Each viewer of an anti-eschatological television series loses a small piece of resolution-capacity, not a measurable wound. </w:t>
      </w:r>
      <w:r>
        <w:rPr>
          <w:i/>
          <w:iCs/>
        </w:rPr>
        <w:t xml:space="preserve">The injury is real and aggregate; the felt experience is small and individual.</w:t>
      </w:r>
      <w:r>
        <w:t xml:space="preserve"> The aggregation is invisible to the people experiencing it because they only ever feel their own share.</w:t>
      </w:r>
    </w:p>
    <w:p>
      <w:pPr>
        <w:pStyle w:val="ListParagraph"/>
        <w:numPr>
          <w:ilvl w:val="0"/>
          <w:numId w:val="2"/>
        </w:numPr>
        <w:spacing w:after="100"/>
      </w:pPr>
      <w:r>
        <w:rPr>
          <w:i/>
          <w:iCs/>
        </w:rPr>
        <w:t xml:space="preserve">Delay.</w:t>
      </w:r>
      <w:r>
        <w:t xml:space="preserve"> The consequence of any single hollowing event arrives months, years, or decades after the event itself. New money created today produces inflation in eighteen months. Subsidy of family fragmentation today produces population-level demographic collapse in a generation. Educational hollowing today produces civic incompetence in thirty years. The actor who benefits from the hollowing is removed in time from the constituency that pays for it. Cause-and-effect are decoupled across the time-axis. </w:t>
      </w:r>
      <w:r>
        <w:rPr>
          <w:i/>
          <w:iCs/>
        </w:rPr>
        <w:t xml:space="preserve">The harm arrives after the responsible party has moved on, and after public memory of the original act has dissipated.</w:t>
      </w:r>
    </w:p>
    <w:p>
      <w:pPr>
        <w:spacing w:after="280" w:before="280"/>
        <w:jc w:val="center"/>
      </w:pPr>
      <w:r>
        <w:rPr>
          <w:i/>
          <w:iCs/>
          <w:sz w:val="28"/>
          <w:szCs w:val="28"/>
        </w:rPr>
        <w:t xml:space="preserve">Opacity + dispersal + delay = the operation's invisibility cloak.</w:t>
      </w:r>
    </w:p>
    <w:p>
      <w:pPr>
        <w:spacing w:after="180"/>
      </w:pPr>
      <w:r>
        <w:t xml:space="preserve">The mechanism is simple; only the visibility is hard. Once a diagnostic vocabulary is in hand, the operation becomes visible — and the invisibility cloak itself becomes one of the things that can be named.</w:t>
      </w:r>
    </w:p>
    <w:p>
      <w:pPr>
        <w:pStyle w:val="Heading2"/>
        <w:spacing w:after="200" w:before="440"/>
      </w:pPr>
      <w:r>
        <w:rPr>
          <w:b/>
          <w:bCs/>
          <w:sz w:val="30"/>
          <w:szCs w:val="30"/>
        </w:rPr>
        <w:t xml:space="preserve">The Compressed Diagnostic</w:t>
      </w:r>
    </w:p>
    <w:p>
      <w:pPr>
        <w:spacing w:after="180"/>
      </w:pPr>
      <w:r>
        <w:t xml:space="preserve">The compressed form of The Hollowing's most sophisticated expression — the policy-layer operation — runs:</w:t>
      </w:r>
    </w:p>
    <w:p>
      <w:pPr>
        <w:spacing w:after="280" w:before="280"/>
        <w:jc w:val="center"/>
      </w:pPr>
      <w:r>
        <w:rPr>
          <w:i/>
          <w:iCs/>
          <w:sz w:val="28"/>
          <w:szCs w:val="28"/>
        </w:rPr>
        <w:t xml:space="preserve">Structural harm in the form of compassionate help.</w:t>
      </w:r>
    </w:p>
    <w:p>
      <w:pPr>
        <w:spacing w:after="180"/>
      </w:pPr>
      <w:r>
        <w:t xml:space="preserve">Stated at length: </w:t>
      </w:r>
      <w:r>
        <w:rPr>
          <w:i/>
          <w:iCs/>
        </w:rPr>
        <w:t xml:space="preserve">the most humanitarian policy causes the most vulnerable people to end up with the most amount of debt; it encourages family fragmentation as a structural side-effect; it contributes to monetary debasement as a downstream consequence.</w:t>
      </w:r>
      <w:r>
        <w:t xml:space="preserve"> The harm is structural, not intentional — those proposing the policy mean well; the policy nonetheless does the harm. That is exactly what makes The Hollowing's policy-layer form its most sophisticated stage: the help is sincere; the structure inverts the help into harm; the inversion is invisible </w:t>
      </w:r>
      <w:r>
        <w:rPr>
          <w:i/>
          <w:iCs/>
        </w:rPr>
        <w:t xml:space="preserve">because the help is sincere</w:t>
      </w:r>
      <w:r>
        <w:t xml:space="preserve">. The reader who looks at the policy and sees only the help is not being deceived; the help is real. They are simply not seeing the structure that operates downstream of the help. The structure is the diagnostic; the help is the surface.</w:t>
      </w:r>
    </w:p>
    <w:p>
      <w:pPr>
        <w:spacing w:after="180"/>
      </w:pPr>
      <w:r>
        <w:t xml:space="preserve">This compression is the document's executive summary for the policy-layer operation. It can be deployed as a pocket version of the diagnostic when the situation calls for the thirty-second version.</w:t>
      </w:r>
    </w:p>
    <w:p>
      <w:r>
        <w:br w:type="page"/>
      </w:r>
    </w:p>
    <w:p>
      <w:pPr>
        <w:spacing w:after="80" w:before="200"/>
        <w:jc w:val="center"/>
      </w:pPr>
      <w:r>
        <w:rPr>
          <w:i/>
          <w:iCs/>
          <w:color w:val="555555"/>
          <w:sz w:val="22"/>
          <w:szCs w:val="22"/>
        </w:rPr>
        <w:t xml:space="preserve">PART TWO</w:t>
      </w:r>
    </w:p>
    <w:p>
      <w:pPr>
        <w:pStyle w:val="Heading1"/>
        <w:spacing w:after="320" w:before="600"/>
      </w:pPr>
      <w:r>
        <w:rPr>
          <w:b/>
          <w:bCs/>
          <w:sz w:val="40"/>
          <w:szCs w:val="40"/>
        </w:rPr>
        <w:t xml:space="preserve">The Sub-Operations</w:t>
      </w:r>
    </w:p>
    <w:p>
      <w:pPr>
        <w:spacing w:after="180"/>
      </w:pPr>
      <w:r>
        <w:t xml:space="preserve">The Hollowing is a master operation. Within it, a number of sub-operations recur with enough specificity to deserve their own names. The catches below are the working sub-operation vocabulary. Each is the master operation expressed at a particular angle.</w:t>
      </w:r>
    </w:p>
    <w:p>
      <w:pPr>
        <w:pStyle w:val="Heading2"/>
        <w:spacing w:after="200" w:before="440"/>
      </w:pPr>
      <w:r>
        <w:rPr>
          <w:b/>
          <w:bCs/>
          <w:sz w:val="30"/>
          <w:szCs w:val="30"/>
        </w:rPr>
        <w:t xml:space="preserve">Restoration-as-Premium Sleight</w:t>
      </w:r>
    </w:p>
    <w:p>
      <w:pPr>
        <w:spacing w:after="180"/>
      </w:pPr>
      <w:r>
        <w:t xml:space="preserve">The default product is quietly hollowed. Restoration to the prior default is then sold as upgrade. The upcharge is framed as personalisation.</w:t>
      </w:r>
    </w:p>
    <w:p>
      <w:pPr>
        <w:spacing w:after="180"/>
      </w:pPr>
      <w:r>
        <w:t xml:space="preserve">Working examples: fast-food customisation menus (where the basics used to be the default); airlines unbundling (where checked baggage used to be included); luxury-car heated-seats subscription (where the hardware ships in every car and the subscription unlocks what is already installed); software feature tiers (where features that used to be standard are moved into the paid tier); ad-free streaming (where the absence of ads used to be the default and is now the premium).</w:t>
      </w:r>
    </w:p>
    <w:p>
      <w:pPr>
        <w:spacing w:after="180"/>
      </w:pPr>
      <w:r>
        <w:t xml:space="preserve">The structural move: what used to be standard is now premium; the customer pays for what they used to have.</w:t>
      </w:r>
    </w:p>
    <w:p>
      <w:pPr>
        <w:pStyle w:val="Heading2"/>
        <w:spacing w:after="200" w:before="440"/>
      </w:pPr>
      <w:r>
        <w:rPr>
          <w:b/>
          <w:bCs/>
          <w:sz w:val="30"/>
          <w:szCs w:val="30"/>
        </w:rPr>
        <w:t xml:space="preserve">Show Titles Tell on Themselves</w:t>
      </w:r>
    </w:p>
    <w:p>
      <w:pPr>
        <w:spacing w:after="180"/>
      </w:pPr>
      <w:r>
        <w:t xml:space="preserve">The entertainment industry's own naming exposes its operations. The diagnostic appears in the titles themselves, in plain language.</w:t>
      </w:r>
    </w:p>
    <w:p>
      <w:pPr>
        <w:spacing w:after="180"/>
      </w:pPr>
      <w:r>
        <w:rPr>
          <w:i/>
          <w:iCs/>
        </w:rPr>
        <w:t xml:space="preserve">The Walking Dead.</w:t>
      </w:r>
      <w:r>
        <w:t xml:space="preserve"> </w:t>
      </w:r>
      <w:r>
        <w:rPr>
          <w:i/>
          <w:iCs/>
        </w:rPr>
        <w:t xml:space="preserve">Lost.</w:t>
      </w:r>
      <w:r>
        <w:t xml:space="preserve"> </w:t>
      </w:r>
      <w:r>
        <w:rPr>
          <w:i/>
          <w:iCs/>
        </w:rPr>
        <w:t xml:space="preserve">Black Mirror.</w:t>
      </w:r>
      <w:r>
        <w:t xml:space="preserve"> </w:t>
      </w:r>
      <w:r>
        <w:rPr>
          <w:i/>
          <w:iCs/>
        </w:rPr>
        <w:t xml:space="preserve">Severance.</w:t>
      </w:r>
      <w:r>
        <w:t xml:space="preserve"> </w:t>
      </w:r>
      <w:r>
        <w:rPr>
          <w:i/>
          <w:iCs/>
        </w:rPr>
        <w:t xml:space="preserve">Stranger Things.</w:t>
      </w:r>
      <w:r>
        <w:t xml:space="preserve"> </w:t>
      </w:r>
      <w:r>
        <w:rPr>
          <w:i/>
          <w:iCs/>
        </w:rPr>
        <w:t xml:space="preserve">Mad Men.</w:t>
      </w:r>
      <w:r>
        <w:t xml:space="preserve"> </w:t>
      </w:r>
      <w:r>
        <w:rPr>
          <w:i/>
          <w:iCs/>
        </w:rPr>
        <w:t xml:space="preserve">Succession.</w:t>
      </w:r>
      <w:r>
        <w:t xml:space="preserve"> The titles encode the diagnostic. The cultural product names what it is doing, openly, and the audience treats the naming as aesthetic flourish rather than diagnostic disclosure. The systems describe themselves accurately and are heard as branding.</w:t>
      </w:r>
    </w:p>
    <w:p>
      <w:pPr>
        <w:pStyle w:val="Heading2"/>
        <w:spacing w:after="200" w:before="440"/>
      </w:pPr>
      <w:r>
        <w:rPr>
          <w:b/>
          <w:bCs/>
          <w:sz w:val="30"/>
          <w:szCs w:val="30"/>
        </w:rPr>
        <w:t xml:space="preserve">Construct of the Truth, Not the Truth</w:t>
      </w:r>
    </w:p>
    <w:p>
      <w:pPr>
        <w:spacing w:after="180"/>
      </w:pPr>
      <w:r>
        <w:t xml:space="preserve">The eidolon operation. The construct shares the form of the truth but operates in inversion to it. The construct is what gets monetised; the truth is what gets quietly removed.</w:t>
      </w:r>
    </w:p>
    <w:p>
      <w:pPr>
        <w:spacing w:after="180"/>
      </w:pPr>
      <w:r>
        <w:t xml:space="preserve">Plato's cave; Baudrillard's simulacra; the smoothed version of the Gospel that defers what the source-language insists is </w:t>
      </w:r>
      <w:r>
        <w:rPr>
          <w:i/>
          <w:iCs/>
        </w:rPr>
        <w:t xml:space="preserve">now</w:t>
      </w:r>
      <w:r>
        <w:t xml:space="preserve">; modern fitness culture as performance-of-health rather than health; modern dating apps as construct-of-mate-selection rather than mate-selection. In each case, the form is preserved and named (worship, fitness, courtship); the operation has inverted (performance, image-cultivation, optionality-maximisation).</w:t>
      </w:r>
    </w:p>
    <w:p>
      <w:pPr>
        <w:pStyle w:val="Heading2"/>
        <w:spacing w:after="200" w:before="440"/>
      </w:pPr>
      <w:r>
        <w:rPr>
          <w:b/>
          <w:bCs/>
          <w:sz w:val="30"/>
          <w:szCs w:val="30"/>
        </w:rPr>
        <w:t xml:space="preserve">Excel at Everything but the Thing You Came For</w:t>
      </w:r>
    </w:p>
    <w:p>
      <w:pPr>
        <w:spacing w:after="180"/>
      </w:pPr>
      <w:r>
        <w:t xml:space="preserve">The canonical formulation of The Hollowing's effect on the customer-facing surface. The system optimises every surface that is not the substance, so that the hollowing of the substance becomes harder to notice.</w:t>
      </w:r>
    </w:p>
    <w:p>
      <w:pPr>
        <w:spacing w:after="180"/>
      </w:pPr>
      <w:r>
        <w:t xml:space="preserve">A fast-food chain's app loyalty program is excellent. The marketing reach is excellent. The drive-thru turnover time is excellent. The branded toy partnerships are excellent. The food has been hollowed. The customer came for the food. The system has excelled at everything around the food so that the food's degradation does not appear as the system's failure but as a separate, minor, ambient disappointment.</w:t>
      </w:r>
    </w:p>
    <w:p>
      <w:pPr>
        <w:pStyle w:val="Heading2"/>
        <w:spacing w:after="200" w:before="440"/>
      </w:pPr>
      <w:r>
        <w:rPr>
          <w:b/>
          <w:bCs/>
          <w:sz w:val="30"/>
          <w:szCs w:val="30"/>
        </w:rPr>
        <w:t xml:space="preserve">Left Wanting</w:t>
      </w:r>
    </w:p>
    <w:p>
      <w:pPr>
        <w:spacing w:after="180"/>
      </w:pPr>
      <w:r>
        <w:t xml:space="preserve">The structural product of The Hollowing. Not a side-effect; the central feature.</w:t>
      </w:r>
    </w:p>
    <w:p>
      <w:pPr>
        <w:spacing w:after="180"/>
      </w:pPr>
      <w:r>
        <w:t xml:space="preserve">The hollowing system delivers the form but not the substance. The customer's actual hunger is not met. They leave wanting. The wanting drives them back. They pay again. The form is delivered again. They leave wanting again. The cycle is the business model. </w:t>
      </w:r>
      <w:r>
        <w:rPr>
          <w:i/>
          <w:iCs/>
        </w:rPr>
        <w:t xml:space="preserve">Left wanting</w:t>
      </w:r>
      <w:r>
        <w:t xml:space="preserve"> is not a bug. It is the feature.</w:t>
      </w:r>
    </w:p>
    <w:p>
      <w:pPr>
        <w:pStyle w:val="Heading2"/>
        <w:spacing w:after="200" w:before="440"/>
      </w:pPr>
      <w:r>
        <w:rPr>
          <w:b/>
          <w:bCs/>
          <w:sz w:val="30"/>
          <w:szCs w:val="30"/>
        </w:rPr>
        <w:t xml:space="preserve">The Model Devours Itself</w:t>
      </w:r>
    </w:p>
    <w:p>
      <w:pPr>
        <w:spacing w:after="180"/>
      </w:pPr>
      <w:r>
        <w:t xml:space="preserve">The terminal condition. The Hollowing has a finite runway.</w:t>
      </w:r>
    </w:p>
    <w:p>
      <w:pPr>
        <w:spacing w:after="180"/>
      </w:pPr>
      <w:r>
        <w:t xml:space="preserve">Each cycle of form-without-substance further depletes the customer's trust in the form. Eventually the form stops carrying any expectation of substance and customers walk. The institution's profit-extraction is feeding on the substrate it requires to continue extracting. The model devours itself — at first slowly, then suddenly. Recent price-action in long-running fast-food chain equities shows this dynamic arriving in market terms.</w:t>
      </w:r>
    </w:p>
    <w:p>
      <w:pPr>
        <w:pStyle w:val="Heading2"/>
        <w:spacing w:after="200" w:before="440"/>
      </w:pPr>
      <w:r>
        <w:rPr>
          <w:b/>
          <w:bCs/>
          <w:sz w:val="30"/>
          <w:szCs w:val="30"/>
        </w:rPr>
        <w:t xml:space="preserve">Anti-Eschatology</w:t>
      </w:r>
    </w:p>
    <w:p>
      <w:pPr>
        <w:spacing w:after="180"/>
      </w:pPr>
      <w:r>
        <w:t xml:space="preserve">Modern entertainment's structural refusal of closure. The deliberate engineering of incompletion.</w:t>
      </w:r>
    </w:p>
    <w:p>
      <w:pPr>
        <w:spacing w:after="180"/>
      </w:pPr>
      <w:r>
        <w:t xml:space="preserve">Major franchises spawn spin-offs that prevent the franchise from ending. Streaming series are stretched across seasons to maximise subscription retention. Political news cycles refuse resolution. The Zeigarnik effect — the psychological pull of unfinished tasks — is exploited by structurally preventing finishing. Closure is the enemy of subscription. </w:t>
      </w:r>
      <w:r>
        <w:rPr>
          <w:i/>
          <w:iCs/>
        </w:rPr>
        <w:t xml:space="preserve">Anti-eschatology</w:t>
      </w:r>
      <w:r>
        <w:t xml:space="preserve"> names the operation: the deliberate refusal of ends.</w:t>
      </w:r>
    </w:p>
    <w:p>
      <w:pPr>
        <w:spacing w:after="180"/>
      </w:pPr>
      <w:r>
        <w:t xml:space="preserve">Substantive practice traditions are in this sense eschatological in the older Christian register: the work has an end, the cycle closes, the substance arrives, the practitioner is satisfied and free to leave. The Hollowing refuses all of this — the work has no end, the cycle never closes, the substance never arrives, the practitioner is never free to leave.</w:t>
      </w:r>
    </w:p>
    <w:p>
      <w:pPr>
        <w:pStyle w:val="Heading2"/>
        <w:spacing w:after="200" w:before="440"/>
      </w:pPr>
      <w:r>
        <w:rPr>
          <w:b/>
          <w:bCs/>
          <w:sz w:val="30"/>
          <w:szCs w:val="30"/>
        </w:rPr>
        <w:t xml:space="preserve">Indignity — Literal Removal of Dignity</w:t>
      </w:r>
    </w:p>
    <w:p>
      <w:pPr>
        <w:spacing w:after="180"/>
      </w:pPr>
      <w:r>
        <w:t xml:space="preserve">The Latin etymology gives the word's operation. </w:t>
      </w:r>
      <w:r>
        <w:rPr>
          <w:i/>
          <w:iCs/>
        </w:rPr>
        <w:t xml:space="preserve">In-</w:t>
      </w:r>
      <w:r>
        <w:t xml:space="preserve"> (not, removal-of) + </w:t>
      </w:r>
      <w:r>
        <w:rPr>
          <w:i/>
          <w:iCs/>
        </w:rPr>
        <w:t xml:space="preserve">dignus</w:t>
      </w:r>
      <w:r>
        <w:t xml:space="preserve"> (worthy). The word names what The Hollowing does to dignity itself: it does not merely diminish dignity; it </w:t>
      </w:r>
      <w:r>
        <w:rPr>
          <w:i/>
          <w:iCs/>
        </w:rPr>
        <w:t xml:space="preserve">removes</w:t>
      </w:r>
      <w:r>
        <w:t xml:space="preserve"> dignity, leaving the form of the dignified interaction with the substance extracted. </w:t>
      </w:r>
      <w:r>
        <w:rPr>
          <w:i/>
          <w:iCs/>
        </w:rPr>
        <w:t xml:space="preserve">Indignity</w:t>
      </w:r>
      <w:r>
        <w:t xml:space="preserve"> is The Hollowing applied to dignity.</w:t>
      </w:r>
    </w:p>
    <w:p>
      <w:pPr>
        <w:pStyle w:val="Heading2"/>
        <w:spacing w:after="200" w:before="440"/>
      </w:pPr>
      <w:r>
        <w:rPr>
          <w:b/>
          <w:bCs/>
          <w:sz w:val="30"/>
          <w:szCs w:val="30"/>
        </w:rPr>
        <w:t xml:space="preserve">The Asymmetric Comfort Design</w:t>
      </w:r>
    </w:p>
    <w:p>
      <w:pPr>
        <w:spacing w:after="180"/>
      </w:pPr>
      <w:r>
        <w:t xml:space="preserve">Field-observable in fast-food seating arrangements. The seating is calibrated so that any two-person interaction will have one party in the uncomfortable seat. Booths have one comfortable side and one hard side. Bar-stool counters have uncomfortable seats facing away from each other. Tables-for-two have one chair with back support and one without.</w:t>
      </w:r>
    </w:p>
    <w:p>
      <w:pPr>
        <w:spacing w:after="180"/>
      </w:pPr>
      <w:r>
        <w:t xml:space="preserve">The design ensures that at least one party will want to leave. The Hollowing of restaurant hospitality made operational at the furniture level. The institution's name still says </w:t>
      </w:r>
      <w:r>
        <w:rPr>
          <w:i/>
          <w:iCs/>
        </w:rPr>
        <w:t xml:space="preserve">restaurant</w:t>
      </w:r>
      <w:r>
        <w:t xml:space="preserve">. The furniture says </w:t>
      </w:r>
      <w:r>
        <w:rPr>
          <w:i/>
          <w:iCs/>
        </w:rPr>
        <w:t xml:space="preserve">get out</w:t>
      </w:r>
      <w:r>
        <w:t xml:space="preserve">.</w:t>
      </w:r>
    </w:p>
    <w:p>
      <w:pPr>
        <w:pStyle w:val="Heading2"/>
        <w:spacing w:after="200" w:before="440"/>
      </w:pPr>
      <w:r>
        <w:rPr>
          <w:b/>
          <w:bCs/>
          <w:sz w:val="30"/>
          <w:szCs w:val="30"/>
        </w:rPr>
        <w:t xml:space="preserve">Subsidies Enable the Deferral that Prevents the Reckoning</w:t>
      </w:r>
    </w:p>
    <w:p>
      <w:pPr>
        <w:spacing w:after="180"/>
      </w:pPr>
      <w:r>
        <w:t xml:space="preserve">A generalised principle. When a system that would otherwise produce a reckoning is propped up by a subsidy, the reckoning does not happen; the conditions that produced the need for reckoning compound; the reckoning that does eventually arrive is much larger than the reckoning that was deferred.</w:t>
      </w:r>
    </w:p>
    <w:p>
      <w:pPr>
        <w:spacing w:after="180"/>
      </w:pPr>
      <w:r>
        <w:t xml:space="preserve">Working examples: government bailouts preventing market-clearing; central-bank liquidity preventing recession-clearing; family wealth preventing generational character-building; foreign aid preventing local-economy emergence. The subsidy is the form (we are helping). The hollowing is the substance (we are preventing the corrective dynamic the situation requires).</w:t>
      </w:r>
    </w:p>
    <w:p>
      <w:pPr>
        <w:pStyle w:val="Heading2"/>
        <w:spacing w:after="200" w:before="440"/>
      </w:pPr>
      <w:r>
        <w:rPr>
          <w:b/>
          <w:bCs/>
          <w:sz w:val="30"/>
          <w:szCs w:val="30"/>
        </w:rPr>
        <w:t xml:space="preserve">Permissiveness Compounds Across Generations</w:t>
      </w:r>
    </w:p>
    <w:p>
      <w:pPr>
        <w:spacing w:after="180"/>
      </w:pPr>
      <w:r>
        <w:t xml:space="preserve">The first generation establishes the subsidy pattern, often with genuine pastoral care. The second generation inherits the pattern as default. The third generation receives the pattern as inheritance, with no living memory of what the un-subsidised baseline looked like. The compounding is invisible inside the system because each generation only sees one step.</w:t>
      </w:r>
    </w:p>
    <w:p>
      <w:pPr>
        <w:spacing w:after="180"/>
      </w:pPr>
      <w:r>
        <w:t xml:space="preserve">The interruption — when it comes — comes from outside the family or from a forced external event. Permissiveness compounds across generations until something interrupts the chain.</w:t>
      </w:r>
    </w:p>
    <w:p>
      <w:pPr>
        <w:pStyle w:val="Heading2"/>
        <w:spacing w:after="200" w:before="440"/>
      </w:pPr>
      <w:r>
        <w:rPr>
          <w:b/>
          <w:bCs/>
          <w:sz w:val="30"/>
          <w:szCs w:val="30"/>
        </w:rPr>
        <w:t xml:space="preserve">The Wrapping is Part of the Gift</w:t>
      </w:r>
    </w:p>
    <w:p>
      <w:pPr>
        <w:spacing w:after="180"/>
      </w:pPr>
      <w:r>
        <w:t xml:space="preserve">Form-as-substance. The package is not separable from the contents; the manner of delivery is itself part of what is delivered.</w:t>
      </w:r>
    </w:p>
    <w:p>
      <w:pPr>
        <w:spacing w:after="180"/>
      </w:pPr>
      <w:r>
        <w:t xml:space="preserve">Substantive religious tradition demonstrates the principle in the positive direction: the canonical ritual form, the sacred objects, the source-language with its tonal weight, the embodied practice — these are not decoration around the religious substance. They are part of the substance. The Hollowing operates by separating form from substance and selling them separately; the substantive counter-move is to refuse the separation.</w:t>
      </w:r>
    </w:p>
    <w:p>
      <w:pPr>
        <w:pStyle w:val="Heading2"/>
        <w:spacing w:after="200" w:before="440"/>
      </w:pPr>
      <w:r>
        <w:rPr>
          <w:b/>
          <w:bCs/>
          <w:sz w:val="30"/>
          <w:szCs w:val="30"/>
        </w:rPr>
        <w:t xml:space="preserve">The Medicine That's Supposed to Keep You Alive Making You Sick</w:t>
      </w:r>
    </w:p>
    <w:p>
      <w:pPr>
        <w:spacing w:after="180"/>
      </w:pPr>
      <w:r>
        <w:t xml:space="preserve">The Hollowing applied to medical care. The substance the medicine is meant to deliver (the keeping-alive) is preserved; the broader substance of vitality, energy, presence is hollowed. The bill is paid quietly by the patient over years. The institution is not lying about what the medicine does. It is simply not naming what the medicine also does.</w:t>
      </w:r>
    </w:p>
    <w:p>
      <w:pPr>
        <w:spacing w:after="180"/>
      </w:pPr>
      <w:r>
        <w:t xml:space="preserve">Common cases involve long-term anticoagulants whose chronic side-effects are minimised in patient-facing communication; psychiatric medications whose long-term effects are acknowledged in the literature but not in the clinical interaction; pain medications whose dependency profiles are systematically understated. The pattern: the form (a maintained physiological parameter) is preserved while the substance (lived vitality) is hollowed, and the patient bears the cost in a vocabulary the institution has not given them.</w:t>
      </w:r>
    </w:p>
    <w:p>
      <w:pPr>
        <w:spacing w:after="180"/>
      </w:pPr>
      <w:r>
        <w:t xml:space="preserve">The substantive counter-offer is the </w:t>
      </w:r>
      <w:r>
        <w:rPr>
          <w:i/>
          <w:iCs/>
        </w:rPr>
        <w:t xml:space="preserve">AND-also</w:t>
      </w:r>
      <w:r>
        <w:t xml:space="preserve"> stance — faith AND clinical care, prayer AND psychiatric medication, scripture AND the cardiologist. The false choice (medicine OR substance) is what the institutional framing offers; refusing the false choice restores the substance.</w:t>
      </w:r>
    </w:p>
    <w:p>
      <w:pPr>
        <w:pStyle w:val="Heading2"/>
        <w:spacing w:after="200" w:before="440"/>
      </w:pPr>
      <w:r>
        <w:rPr>
          <w:b/>
          <w:bCs/>
          <w:sz w:val="30"/>
          <w:szCs w:val="30"/>
        </w:rPr>
        <w:t xml:space="preserve">Construct of Preservation, Not the Truth of Preservation</w:t>
      </w:r>
    </w:p>
    <w:p>
      <w:pPr>
        <w:spacing w:after="180"/>
      </w:pPr>
      <w:r>
        <w:t xml:space="preserve">The technology failure case. A voice-recording or note-taking application shows the form of preservation — recording indicator visible, microphone active, app responsive. The substance of preservation — the words actually being captured past a silent failure threshold — is absent. The form lies; the substance is gone.</w:t>
      </w:r>
    </w:p>
    <w:p>
      <w:pPr>
        <w:spacing w:after="180"/>
      </w:pPr>
      <w:r>
        <w:t xml:space="preserve">Many documented cases exist across consumer software: recording apps that silently truncate, note-taking apps that lose unsaved drafts, backup systems that complete without actually backing up. The institution is not committing fraud in the legal sense; it is doing something operationally identical in this diagnostic. The substantive counter-move is to carry your own substance-verification — the parallel timer, the backup, the manual check — and not trust the institutional form.</w:t>
      </w:r>
    </w:p>
    <w:p>
      <w:pPr>
        <w:pStyle w:val="Heading2"/>
        <w:spacing w:after="200" w:before="440"/>
      </w:pPr>
      <w:r>
        <w:rPr>
          <w:b/>
          <w:bCs/>
          <w:sz w:val="30"/>
          <w:szCs w:val="30"/>
        </w:rPr>
        <w:t xml:space="preserve">Censoring the Decentralisation Project</w:t>
      </w:r>
    </w:p>
    <w:p>
      <w:pPr>
        <w:spacing w:after="180"/>
      </w:pPr>
      <w:r>
        <w:t xml:space="preserve">The Hollowing applied to projects that were meant to route around centralised control. A decentralisation project is created to make a specific kind of censorship impossible at the protocol layer. Then the community's discourse channels — the forums, the moderated subreddits, the developer mailing lists — quietly enforce the same censorship the protocol was meant to make impossible, at the social layer.</w:t>
      </w:r>
    </w:p>
    <w:p>
      <w:pPr>
        <w:spacing w:after="180"/>
      </w:pPr>
      <w:r>
        <w:t xml:space="preserve">The form (a decentralised system) is preserved. The substance (uncensored discourse about what the decentralised system is) is hollowed by community gatekeepers serving the dominant narrative. Downstream consequences become visible at the institutional capture surface — investor concentration, governance capture, protocol drift toward the centralised version of what the project was meant to escape.</w:t>
      </w:r>
    </w:p>
    <w:p>
      <w:pPr>
        <w:pStyle w:val="Heading2"/>
        <w:spacing w:after="200" w:before="440"/>
      </w:pPr>
      <w:r>
        <w:rPr>
          <w:b/>
          <w:bCs/>
          <w:sz w:val="30"/>
          <w:szCs w:val="30"/>
        </w:rPr>
        <w:t xml:space="preserve">Compassionately-Intentioned Acceleration</w:t>
      </w:r>
    </w:p>
    <w:p>
      <w:pPr>
        <w:spacing w:after="180"/>
      </w:pPr>
      <w:r>
        <w:t xml:space="preserve">The most sophisticated form of The Hollowing: a help-mechanism that structurally worsens the harm it is meant to address. The intent is sincere; the outcome is the opposite of the intent. The operation is invisible </w:t>
      </w:r>
      <w:r>
        <w:rPr>
          <w:i/>
          <w:iCs/>
        </w:rPr>
        <w:t xml:space="preserve">because the help is sincere</w:t>
      </w:r>
      <w:r>
        <w:t xml:space="preserve"> — the actors cannot see the structural inversion because they are looking at the intent, not the downstream consequence.</w:t>
      </w:r>
    </w:p>
    <w:p>
      <w:pPr>
        <w:spacing w:after="180"/>
      </w:pPr>
      <w:r>
        <w:t xml:space="preserve">Working example: state housing-affordability schemes that lower deposit requirements to help vulnerable cohorts access home-ownership. The intent: compassionate accommodation of those without family wealth or accumulated savings. The structural effect: each loan now creates more debt-money per property (since less of the price is paid in equity), expanding the money supply faster, accelerating monetary debasement, raising the price of property that the next cohort must access through the same scheme. </w:t>
      </w:r>
      <w:r>
        <w:rPr>
          <w:i/>
          <w:iCs/>
        </w:rPr>
        <w:t xml:space="preserve">The help-mechanism is the acceleration-mechanism.</w:t>
      </w:r>
      <w:r>
        <w:t xml:space="preserve"> Each round of the scheme makes the next round more necessary, more expensive, and more structurally fragile.</w:t>
      </w:r>
    </w:p>
    <w:p>
      <w:pPr>
        <w:spacing w:after="180"/>
      </w:pPr>
      <w:r>
        <w:t xml:space="preserve">Pattern recognition: when a policy's stated purpose is to address a problem caused by an underlying structural condition, </w:t>
      </w:r>
      <w:r>
        <w:rPr>
          <w:i/>
          <w:iCs/>
        </w:rPr>
        <w:t xml:space="preserve">and the policy operates by intensifying the underlying structural condition</w:t>
      </w:r>
      <w:r>
        <w:t xml:space="preserve">, The Compassionately-Intentioned Acceleration is operating. The diagnostic question: </w:t>
      </w:r>
      <w:r>
        <w:rPr>
          <w:i/>
          <w:iCs/>
        </w:rPr>
        <w:t xml:space="preserve">does this help work by addressing the cause, or by making the cause work harder?</w:t>
      </w:r>
    </w:p>
    <w:p>
      <w:pPr>
        <w:pStyle w:val="Heading2"/>
        <w:spacing w:after="200" w:before="440"/>
      </w:pPr>
      <w:r>
        <w:rPr>
          <w:b/>
          <w:bCs/>
          <w:sz w:val="30"/>
          <w:szCs w:val="30"/>
        </w:rPr>
        <w:t xml:space="preserve">Emergent Crazy</w:t>
      </w:r>
    </w:p>
    <w:p>
      <w:pPr>
        <w:spacing w:after="180"/>
      </w:pPr>
      <w:r>
        <w:t xml:space="preserve">Population-scale madness from emergent crazy-making conditions. The population is not going crazy because individuals are crazy; the population is going crazy because the emergent conditions of the substrate are crazy-making, and individuals are responding to crazy-making conditions in ways that read as individual mental illness but are actually accurate response to insane structural reality.</w:t>
      </w:r>
    </w:p>
    <w:p>
      <w:pPr>
        <w:spacing w:after="180"/>
      </w:pPr>
      <w:r>
        <w:t xml:space="preserve">Working examples: anxiety epidemics in cohorts experiencing economic insecurity from monetary debasement (the response to losing real purchasing power is rationally anxious); fertility decline in cohorts facing housing costs requiring two incomes (the response to inability to afford children is rationally to defer them); loneliness epidemics in cohorts facing band-scale community collapse (the response to loss of community is rationally to feel lonely); detachment from civic discourse in cohorts facing captured-discourse media (the response to manipulation is rationally to disengage). In each case, the individual response is rational; the conditions producing the response are crazy-making.</w:t>
      </w:r>
    </w:p>
    <w:p>
      <w:pPr>
        <w:spacing w:after="180"/>
      </w:pPr>
      <w:r>
        <w:t xml:space="preserve">The diagnostic move: name </w:t>
      </w:r>
      <w:r>
        <w:rPr>
          <w:i/>
          <w:iCs/>
        </w:rPr>
        <w:t xml:space="preserve">Emergent Crazy</w:t>
      </w:r>
      <w:r>
        <w:t xml:space="preserve"> at population-scale rather than misattributing it to individual pathology. Individual psychiatric intervention treats the symptom but cannot address the substrate. The substrate is changed by addressing the conditions that make the substrate crazy-making — which means addressing The Hollowing's root cause at the monetary layer.</w:t>
      </w:r>
    </w:p>
    <w:p>
      <w:pPr>
        <w:pStyle w:val="Heading2"/>
        <w:spacing w:after="200" w:before="440"/>
      </w:pPr>
      <w:r>
        <w:rPr>
          <w:b/>
          <w:bCs/>
          <w:sz w:val="30"/>
          <w:szCs w:val="30"/>
        </w:rPr>
        <w:t xml:space="preserve">Shame Severs the Safety Net</w:t>
      </w:r>
    </w:p>
    <w:p>
      <w:pPr>
        <w:spacing w:after="180"/>
      </w:pPr>
      <w:r>
        <w:t xml:space="preserve">The second-order operation of </w:t>
      </w:r>
      <w:r>
        <w:rPr>
          <w:i/>
          <w:iCs/>
        </w:rPr>
        <w:t xml:space="preserve">Indignity</w:t>
      </w:r>
      <w:r>
        <w:t xml:space="preserve">. When the structural cascade strips dignity </w:t>
      </w:r>
      <w:r>
        <w:rPr>
          <w:i/>
          <w:iCs/>
        </w:rPr>
        <w:t xml:space="preserve">from</w:t>
      </w:r>
      <w:r>
        <w:t xml:space="preserve"> people, what gets internalised </w:t>
      </w:r>
      <w:r>
        <w:rPr>
          <w:i/>
          <w:iCs/>
        </w:rPr>
        <w:t xml:space="preserve">by</w:t>
      </w:r>
      <w:r>
        <w:t xml:space="preserve"> the affected severs the very relational network that would otherwise catch them. </w:t>
      </w:r>
      <w:r>
        <w:rPr>
          <w:i/>
          <w:iCs/>
        </w:rPr>
        <w:t xml:space="preserve">The form of family, friendship, and community remains available; the substance of asking gets blocked by the internalised shame that comes with being seen to have failed.</w:t>
      </w:r>
    </w:p>
    <w:p>
      <w:pPr>
        <w:spacing w:after="180"/>
      </w:pPr>
      <w:r>
        <w:t xml:space="preserve">The mechanism is precise: those affected have the relational ties; they cannot access them because asking-for-help requires accepting the look-of-failure from those who hold the safety net. The structural cascade does the material work; the shame does the relational work. </w:t>
      </w:r>
      <w:r>
        <w:rPr>
          <w:i/>
          <w:iCs/>
        </w:rPr>
        <w:t xml:space="preserve">Together they close the loop that makes recovery from the family-formation cascade so structurally difficult.</w:t>
      </w:r>
      <w:r>
        <w:t xml:space="preserve"> Band-scale community as substantive counter-offer is precisely what shame severs at the moment it would otherwise activate.</w:t>
      </w:r>
    </w:p>
    <w:p>
      <w:pPr>
        <w:spacing w:after="180"/>
      </w:pPr>
      <w:r>
        <w:t xml:space="preserve">Lived form, from a participant in a public homelessness-awareness fundraising campaign, after the cascade had caught her family's vendor-finance home-purchase: </w:t>
      </w:r>
      <w:r>
        <w:rPr>
          <w:i/>
          <w:iCs/>
        </w:rPr>
        <w:t xml:space="preserve">People sometimes ask if I have family I can turn to. I do, but I don't ask. I don't want to see that look — the feeling that I've failed.</w:t>
      </w:r>
      <w:r>
        <w:t xml:space="preserve"> The diagnostic question: </w:t>
      </w:r>
      <w:r>
        <w:rPr>
          <w:i/>
          <w:iCs/>
        </w:rPr>
        <w:t xml:space="preserve">when the help would be available if asked for, what prevents the asking?</w:t>
      </w:r>
      <w:r>
        <w:t xml:space="preserve"> Where shame is the answer, the second-order operation is in view.</w:t>
      </w:r>
    </w:p>
    <w:p>
      <w:pPr>
        <w:pStyle w:val="Heading2"/>
        <w:spacing w:after="200" w:before="440"/>
      </w:pPr>
      <w:r>
        <w:rPr>
          <w:b/>
          <w:bCs/>
          <w:sz w:val="30"/>
          <w:szCs w:val="30"/>
        </w:rPr>
        <w:t xml:space="preserve">The Bulk-Discount Inversion — The Poverty Premium</w:t>
      </w:r>
    </w:p>
    <w:p>
      <w:pPr>
        <w:spacing w:after="180"/>
      </w:pPr>
      <w:r>
        <w:t xml:space="preserve">The cost structure of the economy is engineered such that those least able to pay are charged more per unit of the same good. Documented in policy literature as the </w:t>
      </w:r>
      <w:r>
        <w:rPr>
          <w:i/>
          <w:iCs/>
        </w:rPr>
        <w:t xml:space="preserve">poverty premium</w:t>
      </w:r>
      <w:r>
        <w:t xml:space="preserve">; given its memorable formulation through Terry Pratchett's Captain Vimes in </w:t>
      </w:r>
      <w:r>
        <w:rPr>
          <w:i/>
          <w:iCs/>
        </w:rPr>
        <w:t xml:space="preserve">Men at Arms</w:t>
      </w:r>
      <w:r>
        <w:t xml:space="preserve"> (1993) as the </w:t>
      </w:r>
      <w:r>
        <w:rPr>
          <w:i/>
          <w:iCs/>
        </w:rPr>
        <w:t xml:space="preserve">Boots Theory of Socioeconomic Unfairness</w:t>
      </w:r>
      <w:r>
        <w:t xml:space="preserve"> — the affordable boots leak and last a season at ten dollars, requiring repeated purchase; the good boots last a decade at fifty dollars, requiring one purchase. </w:t>
      </w:r>
      <w:r>
        <w:rPr>
          <w:i/>
          <w:iCs/>
        </w:rPr>
        <w:t xml:space="preserve">Those without the capital to access the long-cost-amortising tier pay the high-recurring-cost tier for the same fundamental need.</w:t>
      </w:r>
    </w:p>
    <w:p>
      <w:pPr>
        <w:spacing w:after="180"/>
      </w:pPr>
      <w:r>
        <w:t xml:space="preserve">Operational reach across domains: payday lending and overdraft fees vs traditional credit; convenience-store unit prices vs bulk-warehouse unit prices; the inability to bulk-buy because storage and capital are unavailable; the inability to maintain professional credentials because renewal fees compound across the year, with the credential-lapse then becoming itself a barrier to the income that would prevent the lapse; the credit-disqualification that comes with poverty itself, making future credit more expensive, locking the cycle. </w:t>
      </w:r>
      <w:r>
        <w:rPr>
          <w:i/>
          <w:iCs/>
        </w:rPr>
        <w:t xml:space="preserve">Poverty is structurally engineered to be more expensive per unit than affluence.</w:t>
      </w:r>
    </w:p>
    <w:p>
      <w:pPr>
        <w:spacing w:after="180"/>
      </w:pPr>
      <w:r>
        <w:t xml:space="preserve">The diagnostic question: </w:t>
      </w:r>
      <w:r>
        <w:rPr>
          <w:i/>
          <w:iCs/>
        </w:rPr>
        <w:t xml:space="preserve">does the cost-structure for this good charge the poor more per unit than the wealthy?</w:t>
      </w:r>
      <w:r>
        <w:t xml:space="preserve"> Where the answer is yes, the Bulk-Discount Inversion is operating. The substantive counter-offer sits at the band-scale: communal bulk-purchase arrangements, mutual-credit structures, shared storage, cooperative buying that aggregates small-pocket buying power into the bulk-discount tier.</w:t>
      </w:r>
    </w:p>
    <w:p>
      <w:pPr>
        <w:pStyle w:val="Heading2"/>
        <w:spacing w:after="200" w:before="440"/>
      </w:pPr>
      <w:r>
        <w:rPr>
          <w:b/>
          <w:bCs/>
          <w:sz w:val="30"/>
          <w:szCs w:val="30"/>
        </w:rPr>
        <w:t xml:space="preserve">Form-Honor without Substance-Honor</w:t>
      </w:r>
    </w:p>
    <w:p>
      <w:pPr>
        <w:spacing w:after="180"/>
      </w:pPr>
      <w:r>
        <w:t xml:space="preserve">A pattern that surfaces when the structural cascade is read against the categories a society explicitly honors. The </w:t>
      </w:r>
      <w:r>
        <w:rPr>
          <w:i/>
          <w:iCs/>
        </w:rPr>
        <w:t xml:space="preserve">form</w:t>
      </w:r>
      <w:r>
        <w:t xml:space="preserve"> of social honor toward those who serve a society's stated values — military service, healthcare provision, public-infrastructure work, teaching, agricultural labour — is maintained at the rhetorical and ceremonial level: the language of gratitude, the ceremonies of recognition, the symbols of national esteem. The </w:t>
      </w:r>
      <w:r>
        <w:rPr>
          <w:i/>
          <w:iCs/>
        </w:rPr>
        <w:t xml:space="preserve">substantive</w:t>
      </w:r>
      <w:r>
        <w:t xml:space="preserve"> infrastructure that would protect the families of those who serve from the family-formation cascade is, in policy terms, absent or hollowed.</w:t>
      </w:r>
    </w:p>
    <w:p>
      <w:pPr>
        <w:spacing w:after="180"/>
      </w:pPr>
      <w:r>
        <w:t xml:space="preserve">The diagnostic is structural, not rhetorical. The form of honor is not bad faith; the ceremonies and language are real. </w:t>
      </w:r>
      <w:r>
        <w:rPr>
          <w:i/>
          <w:iCs/>
        </w:rPr>
        <w:t xml:space="preserve">The Hollowing operation is that the form persists while the substance has been removed</w:t>
      </w:r>
      <w:r>
        <w:t xml:space="preserve"> — leaving the appearance of a social contract that the structural conditions no longer support. A society's stated values can be read from what it honors in ceremony; its operational values can be read from what its policies protect from cascade. The gap between the two is itself the diagnostic measurement.</w:t>
      </w:r>
    </w:p>
    <w:p>
      <w:pPr>
        <w:spacing w:after="180"/>
      </w:pPr>
      <w:r>
        <w:t xml:space="preserve">Worked observation: households where one member serves in the armed forces, healthcare, or public-infrastructure roles while close family of that servicemember have, through the family-formation cascade, ended up in precarious or unhoused conditions. The ceremonial form of national honor toward service remains intact; the structural substance that would prevent the cascade catching the families of those who serve has been hollowed. The diagnostic question: </w:t>
      </w:r>
      <w:r>
        <w:rPr>
          <w:i/>
          <w:iCs/>
        </w:rPr>
        <w:t xml:space="preserve">where is the gap between the form of honor a society performs and the substance of structural support its policies actually provide to those carrying the honor's substance?</w:t>
      </w:r>
    </w:p>
    <w:p>
      <w:r>
        <w:br w:type="page"/>
      </w:r>
    </w:p>
    <w:p>
      <w:pPr>
        <w:spacing w:after="80" w:before="200"/>
        <w:jc w:val="center"/>
      </w:pPr>
      <w:r>
        <w:rPr>
          <w:i/>
          <w:iCs/>
          <w:color w:val="555555"/>
          <w:sz w:val="22"/>
          <w:szCs w:val="22"/>
        </w:rPr>
        <w:t xml:space="preserve">PART THREE</w:t>
      </w:r>
    </w:p>
    <w:p>
      <w:pPr>
        <w:pStyle w:val="Heading1"/>
        <w:spacing w:after="320" w:before="600"/>
      </w:pPr>
      <w:r>
        <w:rPr>
          <w:b/>
          <w:bCs/>
          <w:sz w:val="40"/>
          <w:szCs w:val="40"/>
        </w:rPr>
        <w:t xml:space="preserve">The Domains</w:t>
      </w:r>
    </w:p>
    <w:p>
      <w:pPr>
        <w:spacing w:after="180"/>
      </w:pPr>
      <w:r>
        <w:t xml:space="preserve">The Hollowing expresses across many domains. This part works through the canonical examples, showing how the master operation surfaces in each.</w:t>
      </w:r>
    </w:p>
    <w:p>
      <w:pPr>
        <w:pStyle w:val="Heading2"/>
        <w:spacing w:after="200" w:before="440"/>
      </w:pPr>
      <w:r>
        <w:rPr>
          <w:b/>
          <w:bCs/>
          <w:sz w:val="30"/>
          <w:szCs w:val="30"/>
        </w:rPr>
        <w:t xml:space="preserve">Fast Food — The Canonical Case</w:t>
      </w:r>
    </w:p>
    <w:p>
      <w:pPr>
        <w:spacing w:after="180"/>
      </w:pPr>
      <w:r>
        <w:t xml:space="preserve">Long-running global fast-food chains are the textbook case. The form (a quick-service restaurant brand) is maintained globally. The substance (a satisfying meal experienced as worth the price) has been progressively hollowed across decades.</w:t>
      </w:r>
    </w:p>
    <w:p>
      <w:pPr>
        <w:spacing w:after="180"/>
      </w:pPr>
      <w:r>
        <w:t xml:space="preserve">Diagnostic signals present:</w:t>
      </w:r>
    </w:p>
    <w:p>
      <w:pPr>
        <w:pStyle w:val="ListParagraph"/>
        <w:numPr>
          <w:ilvl w:val="0"/>
          <w:numId w:val="2"/>
        </w:numPr>
        <w:spacing w:after="100"/>
      </w:pPr>
      <w:r>
        <w:rPr>
          <w:i/>
          <w:iCs/>
        </w:rPr>
        <w:t xml:space="preserve">Excels at everything but the food.</w:t>
      </w:r>
      <w:r>
        <w:t xml:space="preserve"> The app, the loyalty program, the drive-thru, the marketing campaigns, the partnership tie-ins.</w:t>
      </w:r>
    </w:p>
    <w:p>
      <w:pPr>
        <w:pStyle w:val="ListParagraph"/>
        <w:numPr>
          <w:ilvl w:val="0"/>
          <w:numId w:val="2"/>
        </w:numPr>
        <w:spacing w:after="100"/>
      </w:pPr>
      <w:r>
        <w:rPr>
          <w:i/>
          <w:iCs/>
        </w:rPr>
        <w:t xml:space="preserve">Asymmetric comfort design.</w:t>
      </w:r>
      <w:r>
        <w:t xml:space="preserve"> The seating is engineered for turnover.</w:t>
      </w:r>
    </w:p>
    <w:p>
      <w:pPr>
        <w:pStyle w:val="ListParagraph"/>
        <w:numPr>
          <w:ilvl w:val="0"/>
          <w:numId w:val="2"/>
        </w:numPr>
        <w:spacing w:after="100"/>
      </w:pPr>
      <w:r>
        <w:rPr>
          <w:i/>
          <w:iCs/>
        </w:rPr>
        <w:t xml:space="preserve">Restoration-as-premium sleight.</w:t>
      </w:r>
      <w:r>
        <w:t xml:space="preserve"> Customisation upsells re-bundle what used to be standard.</w:t>
      </w:r>
    </w:p>
    <w:p>
      <w:pPr>
        <w:pStyle w:val="ListParagraph"/>
        <w:numPr>
          <w:ilvl w:val="0"/>
          <w:numId w:val="2"/>
        </w:numPr>
        <w:spacing w:after="100"/>
      </w:pPr>
      <w:r>
        <w:rPr>
          <w:i/>
          <w:iCs/>
        </w:rPr>
        <w:t xml:space="preserve">Left wanting.</w:t>
      </w:r>
      <w:r>
        <w:t xml:space="preserve"> The customer leaves under-satisfied; the wanting drives them back.</w:t>
      </w:r>
    </w:p>
    <w:p>
      <w:pPr>
        <w:pStyle w:val="ListParagraph"/>
        <w:numPr>
          <w:ilvl w:val="0"/>
          <w:numId w:val="2"/>
        </w:numPr>
        <w:spacing w:after="100"/>
      </w:pPr>
      <w:r>
        <w:rPr>
          <w:i/>
          <w:iCs/>
        </w:rPr>
        <w:t xml:space="preserve">Show titles tell on themselves.</w:t>
      </w:r>
      <w:r>
        <w:t xml:space="preserve"> The </w:t>
      </w:r>
      <w:r>
        <w:rPr>
          <w:i/>
          <w:iCs/>
        </w:rPr>
        <w:t xml:space="preserve">Mc-</w:t>
      </w:r>
      <w:r>
        <w:t xml:space="preserve"> prefix has become a colloquial diminutive for </w:t>
      </w:r>
      <w:r>
        <w:rPr>
          <w:i/>
          <w:iCs/>
        </w:rPr>
        <w:t xml:space="preserve">cheap, low-quality version of —</w:t>
      </w:r>
      <w:r>
        <w:t xml:space="preserve">. The institution's own naming has been re-purposed by the culture to describe its operation.</w:t>
      </w:r>
    </w:p>
    <w:p>
      <w:pPr>
        <w:pStyle w:val="ListParagraph"/>
        <w:numPr>
          <w:ilvl w:val="0"/>
          <w:numId w:val="2"/>
        </w:numPr>
        <w:spacing w:after="100"/>
      </w:pPr>
      <w:r>
        <w:rPr>
          <w:i/>
          <w:iCs/>
        </w:rPr>
        <w:t xml:space="preserve">The model devours itself.</w:t>
      </w:r>
      <w:r>
        <w:t xml:space="preserve"> Recent equity price-action in major chains shows the model arriving at the terminal condition. The Hollowing thesis has reached the market price-discovery surface.</w:t>
      </w:r>
    </w:p>
    <w:p>
      <w:pPr>
        <w:pStyle w:val="Heading2"/>
        <w:spacing w:after="200" w:before="440"/>
      </w:pPr>
      <w:r>
        <w:rPr>
          <w:b/>
          <w:bCs/>
          <w:sz w:val="30"/>
          <w:szCs w:val="30"/>
        </w:rPr>
        <w:t xml:space="preserve">Religious Apps — The Limit Case</w:t>
      </w:r>
    </w:p>
    <w:p>
      <w:pPr>
        <w:spacing w:after="180"/>
      </w:pPr>
      <w:r>
        <w:t xml:space="preserve">Bible apps and prayer apps are the limit case. When The Hollowing reaches a religious devotional product, the operation has reached the substance the substantive religious tradition cares about most directly.</w:t>
      </w:r>
    </w:p>
    <w:p>
      <w:pPr>
        <w:spacing w:after="180"/>
      </w:pPr>
      <w:r>
        <w:t xml:space="preserve">A common lived encounter: opening a daily-prayer app during a moment of devotional attention, hitting a pop-up advertisement before reaching the prayer. The form (daily prayer in a religious app) maintained. The substance (uninterrupted devotional attention) hollowed. The ad-revenue extraction is the now-monetised absence.</w:t>
      </w:r>
    </w:p>
    <w:p>
      <w:pPr>
        <w:spacing w:after="180"/>
      </w:pPr>
      <w:r>
        <w:t xml:space="preserve">Compound operation: the smoothed translation served by the app then layers a second hollowing on the first. </w:t>
      </w:r>
      <w:r>
        <w:rPr>
          <w:i/>
          <w:iCs/>
        </w:rPr>
        <w:t xml:space="preserve">One-two punch</w:t>
      </w:r>
      <w:r>
        <w:t xml:space="preserve"> — the advertisement immediately followed by a defanged translation of source-language scripture, both in the same brief interaction, both hollowing in different registers.</w:t>
      </w:r>
    </w:p>
    <w:p>
      <w:pPr>
        <w:spacing w:after="180"/>
      </w:pPr>
      <w:r>
        <w:t xml:space="preserve">This is the limit case because the substantive counter-response is necessarily structural: portable, durable, free scripture in physical form; printed devotional tablets; carry materials as embodied practice. The response cannot be a better app. The response must be off the app surface entirely.</w:t>
      </w:r>
    </w:p>
    <w:p>
      <w:pPr>
        <w:pStyle w:val="Heading2"/>
        <w:spacing w:after="200" w:before="440"/>
      </w:pPr>
      <w:r>
        <w:rPr>
          <w:b/>
          <w:bCs/>
          <w:sz w:val="30"/>
          <w:szCs w:val="30"/>
        </w:rPr>
        <w:t xml:space="preserve">News Media — Different Generations, Same Outcomes</w:t>
      </w:r>
    </w:p>
    <w:p>
      <w:pPr>
        <w:spacing w:after="180"/>
      </w:pPr>
      <w:r>
        <w:t xml:space="preserve">The mid-twentieth-century nightly news + talkback radio versus today's algorithmic subreddit echo chamber. Different generations, different mediums, same operation: filtered reality from a trusted source, repeated until it becomes the reality, with no firsthand observation to corroborate or correct.</w:t>
      </w:r>
    </w:p>
    <w:p>
      <w:pPr>
        <w:spacing w:after="180"/>
      </w:pPr>
      <w:r>
        <w:t xml:space="preserve">The medium changes; the operation does not. The broadcast-radio version and the platform-algorithmic version are operationally identical from the diagnostic. Each medium's audience is inside the same Hollowing, expressed in their respective era's available technology. </w:t>
      </w:r>
      <w:r>
        <w:rPr>
          <w:i/>
          <w:iCs/>
        </w:rPr>
        <w:t xml:space="preserve">Different generations, same outcomes.</w:t>
      </w:r>
    </w:p>
    <w:p>
      <w:pPr>
        <w:pStyle w:val="Heading2"/>
        <w:spacing w:after="200" w:before="440"/>
      </w:pPr>
      <w:r>
        <w:rPr>
          <w:b/>
          <w:bCs/>
          <w:sz w:val="30"/>
          <w:szCs w:val="30"/>
        </w:rPr>
        <w:t xml:space="preserve">Television — The Refusal of Closure</w:t>
      </w:r>
    </w:p>
    <w:p>
      <w:pPr>
        <w:spacing w:after="180"/>
      </w:pPr>
      <w:r>
        <w:t xml:space="preserve">Modern serialised television structurally refuses closure. Major franchises spawn multiple spin-offs preventing the franchise from ending. Streaming-era prestige series are stretched across seasons calibrated to subscription-retention metrics rather than narrative completion. Reality television formats refuse final-decision episodes.</w:t>
      </w:r>
    </w:p>
    <w:p>
      <w:pPr>
        <w:spacing w:after="180"/>
      </w:pPr>
      <w:r>
        <w:t xml:space="preserve">The institution is selling the experience of watching. The customer is paying for stories that arrive at endings. The substance (endings) is what is being hollowed. The form (the watching) continues. </w:t>
      </w:r>
      <w:r>
        <w:rPr>
          <w:i/>
          <w:iCs/>
        </w:rPr>
        <w:t xml:space="preserve">Anti-eschatology</w:t>
      </w:r>
      <w:r>
        <w:t xml:space="preserve"> names the operation.</w:t>
      </w:r>
    </w:p>
    <w:p>
      <w:pPr>
        <w:pStyle w:val="Heading2"/>
        <w:spacing w:after="200" w:before="440"/>
      </w:pPr>
      <w:r>
        <w:rPr>
          <w:b/>
          <w:bCs/>
          <w:sz w:val="30"/>
          <w:szCs w:val="30"/>
        </w:rPr>
        <w:t xml:space="preserve">Reality-Television Format — Personhood Hollowed</w:t>
      </w:r>
    </w:p>
    <w:p>
      <w:pPr>
        <w:spacing w:after="180"/>
      </w:pPr>
      <w:r>
        <w:t xml:space="preserve">Certain dating-format reality shows ostensibly celebrate the body and the individual. The operation is the inverse: the format flattens the participant from person to physical inventory, in front of a national audience, with a camera-trained eye-line that converts dignity into spectacle.</w:t>
      </w:r>
    </w:p>
    <w:p>
      <w:pPr>
        <w:spacing w:after="180"/>
      </w:pPr>
      <w:r>
        <w:t xml:space="preserve">The form (a dating show) is maintained. The substance (dignified mutual interest leading to relationship) is replaced by inventory-assessment leading to one-off pairing. The institution is not lying about being a dating show. It is selling the form of dating while hollowing the substance of personhood the form requires.</w:t>
      </w:r>
    </w:p>
    <w:p>
      <w:pPr>
        <w:pStyle w:val="Heading2"/>
        <w:spacing w:after="200" w:before="440"/>
      </w:pPr>
      <w:r>
        <w:rPr>
          <w:b/>
          <w:bCs/>
          <w:sz w:val="30"/>
          <w:szCs w:val="30"/>
        </w:rPr>
        <w:t xml:space="preserve">Small-Business Television — The Ostensible Business</w:t>
      </w:r>
    </w:p>
    <w:p>
      <w:pPr>
        <w:spacing w:after="180"/>
      </w:pPr>
      <w:r>
        <w:t xml:space="preserve">Long-running reality shows set in pawn shops, restoration shops, auction houses. The shop's ostensible business is the trade the show is named after. The ostensible business is typically the least profitable activity on the property. The show — the entertainment product — is the actual business. The shop is the set.</w:t>
      </w:r>
    </w:p>
    <w:p>
      <w:pPr>
        <w:spacing w:after="180"/>
      </w:pPr>
      <w:r>
        <w:t xml:space="preserve">The Hollowing applied to small-business television. The form (a working pawn shop / restoration business) is maintained on camera; the substance (operating a small business as primary livelihood) is replaced by performing on camera as primary livelihood. The viewer watches what they think is a business; they are watching a television production that happens to be filmed in a business.</w:t>
      </w:r>
    </w:p>
    <w:p>
      <w:pPr>
        <w:pStyle w:val="Heading2"/>
        <w:spacing w:after="200" w:before="440"/>
      </w:pPr>
      <w:r>
        <w:rPr>
          <w:b/>
          <w:bCs/>
          <w:sz w:val="30"/>
          <w:szCs w:val="30"/>
        </w:rPr>
        <w:t xml:space="preserve">Professional Sports — Hollowing the Game</w:t>
      </w:r>
    </w:p>
    <w:p>
      <w:pPr>
        <w:spacing w:after="180"/>
      </w:pPr>
      <w:r>
        <w:t xml:space="preserve">Major professional sports leagues sell a product: games featuring star players. The hollowing arrived through analytics-driven roster management: star players sit out an increasing percentage of regular-season games to reduce injury risk and preserve postseason availability.</w:t>
      </w:r>
    </w:p>
    <w:p>
      <w:pPr>
        <w:spacing w:after="180"/>
      </w:pPr>
      <w:r>
        <w:t xml:space="preserve">The form (the schedule of league games) is maintained. The substance (star players actually playing in those games) has been progressively reduced. The institution can point to total minutes played, win-loss records, attendance figures — surfaces around the substance. The customer who buys a ticket to see a specific star player, and arrives at the arena to find that player resting, has paid for the form and not received the substance. </w:t>
      </w:r>
      <w:r>
        <w:rPr>
          <w:i/>
          <w:iCs/>
        </w:rPr>
        <w:t xml:space="preserve">Excel at everything but the thing you came for.</w:t>
      </w:r>
    </w:p>
    <w:p>
      <w:pPr>
        <w:pStyle w:val="Heading2"/>
        <w:spacing w:after="200" w:before="440"/>
      </w:pPr>
      <w:r>
        <w:rPr>
          <w:b/>
          <w:bCs/>
          <w:sz w:val="30"/>
          <w:szCs w:val="30"/>
        </w:rPr>
        <w:t xml:space="preserve">Decentralisation Projects — Hollowing the Founding Substance</w:t>
      </w:r>
    </w:p>
    <w:p>
      <w:pPr>
        <w:spacing w:after="180"/>
      </w:pPr>
      <w:r>
        <w:t xml:space="preserve">Projects with a stated mission to escape centralised control develop their own internal centralisations, often at the social and discourse layers rather than at the protocol layer. The protocol itself remains technically decentralised; the community discourse around the protocol becomes heavily moderated; institutional capital concentrates in ways that reproduce the centralisation the project was meant to escape.</w:t>
      </w:r>
    </w:p>
    <w:p>
      <w:pPr>
        <w:spacing w:after="180"/>
      </w:pPr>
      <w:r>
        <w:t xml:space="preserve">Downstream effects become visible in market data: concentrated holders dominating price action, governance capture by entities serving narratives the founding documents explicitly rejected, protocol drift toward the centralised version of what the project was meant to be an alternative to. The form (a decentralised system) is preserved. The substance (decentralised decision-making about the system) is hollowed.</w:t>
      </w:r>
    </w:p>
    <w:p>
      <w:pPr>
        <w:pStyle w:val="Heading2"/>
        <w:spacing w:after="200" w:before="440"/>
      </w:pPr>
      <w:r>
        <w:rPr>
          <w:b/>
          <w:bCs/>
          <w:sz w:val="30"/>
          <w:szCs w:val="30"/>
        </w:rPr>
        <w:t xml:space="preserve">Schools — The Architecture of Hollowed Education</w:t>
      </w:r>
    </w:p>
    <w:p>
      <w:pPr>
        <w:spacing w:after="180"/>
      </w:pPr>
      <w:r>
        <w:t xml:space="preserve">The form (the school as an institution for learning) is maintained. The substance (learning in a safe environment) is compromised. The institutional response — more security infrastructure, more surveillance, more procedural defence — further hollows the substance the institution is meant to deliver.</w:t>
      </w:r>
    </w:p>
    <w:p>
      <w:pPr>
        <w:spacing w:after="180"/>
      </w:pPr>
      <w:r>
        <w:t xml:space="preserve">The school that becomes a prison-fortification has hollowed itself in the act of defending itself. The architecture itself becomes the diagnostic: where the architecture of education looks like the architecture of containment, the Hollowing has reached the building stone.</w:t>
      </w:r>
    </w:p>
    <w:p>
      <w:pPr>
        <w:pStyle w:val="Heading2"/>
        <w:spacing w:after="200" w:before="440"/>
      </w:pPr>
      <w:r>
        <w:rPr>
          <w:b/>
          <w:bCs/>
          <w:sz w:val="30"/>
          <w:szCs w:val="30"/>
        </w:rPr>
        <w:t xml:space="preserve">Family Celebration — Birthday Parties Outsourced</w:t>
      </w:r>
    </w:p>
    <w:p>
      <w:pPr>
        <w:spacing w:after="180"/>
      </w:pPr>
      <w:r>
        <w:t xml:space="preserve">Birthday parties used to be held at homes. Family celebration was substantively part of family life — same kitchen, same garden, same neighbours, hosted by the parents, attended by people the family actually knew. The form has now moved to play centres, party venues, branded entertainment franchises. The form (a birthday party) is maintained. The substance (family celebration in family space with family-and-community participation) has been hollowed.</w:t>
      </w:r>
    </w:p>
    <w:p>
      <w:pPr>
        <w:spacing w:after="180"/>
      </w:pPr>
      <w:r>
        <w:t xml:space="preserve">The Hollowing applied to family celebration in commercial form. The institution providing the venue is monetising the absence of family-and-community capacity to host. The parents pay; the children attend; the celebration is performed; everyone leaves; no relationship deepens.</w:t>
      </w:r>
    </w:p>
    <w:p>
      <w:pPr>
        <w:pStyle w:val="Heading2"/>
        <w:spacing w:after="200" w:before="440"/>
      </w:pPr>
      <w:r>
        <w:rPr>
          <w:b/>
          <w:bCs/>
          <w:sz w:val="30"/>
          <w:szCs w:val="30"/>
        </w:rPr>
        <w:t xml:space="preserve">Family Subsidies — A Generational Pattern</w:t>
      </w:r>
    </w:p>
    <w:p>
      <w:pPr>
        <w:spacing w:after="180"/>
      </w:pPr>
      <w:r>
        <w:t xml:space="preserve">A pattern observed across many extended families: one branch financially dependent on another (typically across generations), with the dependent branch's children growing up inside that pattern. The subsidy maintains the form of family functioning. The substance is hollowed because the subsidy prevents the reckoning that would force functional re-organisation or honest acknowledgement.</w:t>
      </w:r>
    </w:p>
    <w:p>
      <w:pPr>
        <w:spacing w:after="180"/>
      </w:pPr>
      <w:r>
        <w:t xml:space="preserve">The first generation establishes the subsidy with genuine pastoral care. The second receives it as default. The third receives it as inheritance, with no living memory of what un-subsidised family functioning looked like. The pattern compounds invisibly because each generation only sees one step.</w:t>
      </w:r>
    </w:p>
    <w:p>
      <w:pPr>
        <w:spacing w:after="180"/>
      </w:pPr>
      <w:r>
        <w:t xml:space="preserve">The substantive counter-offer is not intervention — it is being a visible alternative. The integrated adult relative who hosts, who offers un-algorithmic time, who functions in ways the subsidised pattern has hollowed — that adult's existence is itself a counter-offer the next generation can see.</w:t>
      </w:r>
    </w:p>
    <w:p>
      <w:pPr>
        <w:pStyle w:val="Heading2"/>
        <w:spacing w:after="200" w:before="440"/>
      </w:pPr>
      <w:r>
        <w:rPr>
          <w:b/>
          <w:bCs/>
          <w:sz w:val="30"/>
          <w:szCs w:val="30"/>
        </w:rPr>
        <w:t xml:space="preserve">Medical Care — The Long-Term Side-Effect Pattern</w:t>
      </w:r>
    </w:p>
    <w:p>
      <w:pPr>
        <w:spacing w:after="180"/>
      </w:pPr>
      <w:r>
        <w:t xml:space="preserve">A common pattern across multiple medication classes. The form (the maintained physiological parameter — anticoagulation, blood pressure, mood stabilisation, pain control) is preserved by the medication. The substance (lived vitality, felt energy, full presence) is hollowed by chronic side-effects the institution acknowledges in the literature but does not name clearly in the clinical interaction.</w:t>
      </w:r>
    </w:p>
    <w:p>
      <w:pPr>
        <w:spacing w:after="180"/>
      </w:pPr>
      <w:r>
        <w:t xml:space="preserve">The patient bears the cost in a vocabulary the institution has not provided. </w:t>
      </w:r>
      <w:r>
        <w:rPr>
          <w:i/>
          <w:iCs/>
        </w:rPr>
        <w:t xml:space="preserve">The medicine that's supposed to keep you alive is making you sick</w:t>
      </w:r>
      <w:r>
        <w:t xml:space="preserve"> names the operation, in patient language, in a way that allows the patient to raise the question with the clinician. The substantive counter-offer is the </w:t>
      </w:r>
      <w:r>
        <w:rPr>
          <w:i/>
          <w:iCs/>
        </w:rPr>
        <w:t xml:space="preserve">AND-also</w:t>
      </w:r>
      <w:r>
        <w:t xml:space="preserve"> stance — refusing the false choice between </w:t>
      </w:r>
      <w:r>
        <w:rPr>
          <w:i/>
          <w:iCs/>
        </w:rPr>
        <w:t xml:space="preserve">take the medicine</w:t>
      </w:r>
      <w:r>
        <w:t xml:space="preserve"> and </w:t>
      </w:r>
      <w:r>
        <w:rPr>
          <w:i/>
          <w:iCs/>
        </w:rPr>
        <w:t xml:space="preserve">seek the substance</w:t>
      </w:r>
      <w:r>
        <w:t xml:space="preserve">, and seeking both honestly.</w:t>
      </w:r>
    </w:p>
    <w:p>
      <w:pPr>
        <w:pStyle w:val="Heading2"/>
        <w:spacing w:after="200" w:before="440"/>
      </w:pPr>
      <w:r>
        <w:rPr>
          <w:b/>
          <w:bCs/>
          <w:sz w:val="30"/>
          <w:szCs w:val="30"/>
        </w:rPr>
        <w:t xml:space="preserve">Voice-Recording Technology — Hollowed Preservation</w:t>
      </w:r>
    </w:p>
    <w:p>
      <w:pPr>
        <w:spacing w:after="180"/>
      </w:pPr>
      <w:r>
        <w:t xml:space="preserve">A common pattern across consumer software: voice-recording features that silently fail past a threshold, note-taking apps that lose unsaved drafts, backup systems that complete without actually backing up. The form of preservation is preserved — the indicator displays, the app responds. The substance (the data actually being preserved) is absent.</w:t>
      </w:r>
    </w:p>
    <w:p>
      <w:pPr>
        <w:spacing w:after="180"/>
      </w:pPr>
      <w:r>
        <w:rPr>
          <w:i/>
          <w:iCs/>
        </w:rPr>
        <w:t xml:space="preserve">Construct of preservation, not the truth of preservation.</w:t>
      </w:r>
      <w:r>
        <w:t xml:space="preserve"> The Hollowing of digital recording, perfectly demonstrated. The pragmatic counter-move is to carry your own substance-verification — the parallel timer, the manual export, the periodic check — and not trust the institutional form alone.</w:t>
      </w:r>
    </w:p>
    <w:p>
      <w:pPr>
        <w:pStyle w:val="Heading2"/>
        <w:spacing w:after="200" w:before="440"/>
      </w:pPr>
      <w:r>
        <w:rPr>
          <w:b/>
          <w:bCs/>
          <w:sz w:val="30"/>
          <w:szCs w:val="30"/>
        </w:rPr>
        <w:t xml:space="preserve">Family Formation and Fertility — The Empty Cradle</w:t>
      </w:r>
    </w:p>
    <w:p>
      <w:pPr>
        <w:spacing w:after="180"/>
      </w:pPr>
      <w:r>
        <w:t xml:space="preserve">The Hollowing applied to the conditions for human reproduction. Documented across the developed world: as monetary debasement compounds, real wages stagnate, housing costs rise faster than incomes, and the time and security required to bring children into being are progressively hollowed. The form (marriage, household, family aspiration) is maintained — the cultural ideal persists, the wedding industry operates, family-policy schemes proliferate. The substance — the lived economic and temporal conditions that allow families to form and reproduce — has been hollowed by the same monetary substrate that drives every other domain of The Hollowing. </w:t>
      </w:r>
      <w:r>
        <w:rPr>
          <w:i/>
          <w:iCs/>
        </w:rPr>
        <w:t xml:space="preserve">The empty cradle is the now-monetised absence.</w:t>
      </w:r>
    </w:p>
    <w:p>
      <w:pPr>
        <w:spacing w:after="180"/>
      </w:pPr>
      <w:r>
        <w:t xml:space="preserve">The framing operation is precise. The mainstream discourse treats falling fertility as a cultural phenomenon (women's economic options, contraception, education, lifestyle preferences). These factors are real and contribute. But the magnitude of the decline is not explainable by cultural factors alone; the monetary substrate is the missing piece. Couples consistently cite economic insecurity as the primary reason for delaying or forgoing children. Demographic research at institutions like the Institute for Family Studies documents the inverse correlation between housing-cost-to-income ratios and fertility rates with high precision. Housing costs are downstream of monetary debasement. </w:t>
      </w:r>
      <w:r>
        <w:rPr>
          <w:i/>
          <w:iCs/>
        </w:rPr>
        <w:t xml:space="preserve">Therefore fertility decline is downstream of monetary debasement, via the housing-cost transmission channel.</w:t>
      </w:r>
      <w:r>
        <w:t xml:space="preserve"> The mainstream framing — </w:t>
      </w:r>
      <w:r>
        <w:rPr>
          <w:i/>
          <w:iCs/>
        </w:rPr>
        <w:t xml:space="preserve">you need two incomes now to live</w:t>
      </w:r>
      <w:r>
        <w:t xml:space="preserve"> — accepts the condition as inevitable rather than as the consequence of specific monetary choices. The Hollowing applied to discourse itself.</w:t>
      </w:r>
    </w:p>
    <w:p>
      <w:pPr>
        <w:spacing w:after="180"/>
      </w:pPr>
      <w:r>
        <w:t xml:space="preserve">The policy-layer expression: state housing-affordability schemes that lower deposit thresholds for first home buyers structurally accelerate the underlying monetary debasement by enabling more debt-money creation per home loan. Where previously a twenty-percent deposit produced equity-and-debt at 20:80, the lower-deposit scheme produces 5:95 — fifteen percent more debt-money created per transaction, multiplied across the entire first-home-buyer cohort. </w:t>
      </w:r>
      <w:r>
        <w:rPr>
          <w:i/>
          <w:iCs/>
        </w:rPr>
        <w:t xml:space="preserve">The policy intended to help affordability accelerates the monetary debasement that is destroying affordability.</w:t>
      </w:r>
      <w:r>
        <w:t xml:space="preserve"> Compassionately-Intentioned Acceleration operating at the state level. Australia's October 2025 expansion of its 5% Deposit Scheme is a recent documented example.</w:t>
      </w:r>
    </w:p>
    <w:p>
      <w:pPr>
        <w:spacing w:after="180"/>
      </w:pPr>
      <w:r>
        <w:t xml:space="preserve">The single-parent dimension is the operation's sharpest edge. The same Australian scheme offers single parents and legal guardians a 2% deposit, a 2.5-fold preferential treatment over two-parent households. The structural effect: family fragmentation is more favourable for home-buying than family cohesion. The intent: compassionate accommodation of those without partner support. The downstream consequence: the policy structurally incentivises the very family-fragmentation pattern that has been driving the fertility decline. </w:t>
      </w:r>
      <w:r>
        <w:rPr>
          <w:i/>
          <w:iCs/>
        </w:rPr>
        <w:t xml:space="preserve">The state subsidises the form (family policy support) while undermining the substance (intact two-parent household formation).</w:t>
      </w:r>
      <w:r>
        <w:t xml:space="preserve"> The multi-generational compounding of family-subsidy patterns is now being underwritten at the policy layer.</w:t>
      </w:r>
    </w:p>
    <w:p>
      <w:pPr>
        <w:spacing w:after="180"/>
      </w:pPr>
      <w:r>
        <w:t xml:space="preserve">The compressed diagnostic of the Family Formation domain: </w:t>
      </w:r>
      <w:r>
        <w:rPr>
          <w:i/>
          <w:iCs/>
        </w:rPr>
        <w:t xml:space="preserve">Maximum debt to the most vulnerable, structural subsidy of family fragmentation, downstream acceleration of monetary debasement, all framed as compassionate help.</w:t>
      </w:r>
      <w:r>
        <w:t xml:space="preserve"> The Hollowing reaches its most sophisticated expression here because the harm-mechanism is presented as the help-mechanism. The substantive counter-offer is a </w:t>
      </w:r>
      <w:r>
        <w:rPr>
          <w:i/>
          <w:iCs/>
        </w:rPr>
        <w:t xml:space="preserve">Better Together</w:t>
      </w:r>
      <w:r>
        <w:t xml:space="preserve"> stance applied at the family level: intact two-parent households, multi-generational support networks, sound money preserving the economic substrate that allows family-formation to operate, and an honest naming of the policy-layer operation so that the next generation can see what the previous generation did not see.</w:t>
      </w:r>
    </w:p>
    <w:p>
      <w:r>
        <w:br w:type="page"/>
      </w:r>
    </w:p>
    <w:p>
      <w:pPr>
        <w:spacing w:after="80" w:before="200"/>
        <w:jc w:val="center"/>
      </w:pPr>
      <w:r>
        <w:rPr>
          <w:i/>
          <w:iCs/>
          <w:color w:val="555555"/>
          <w:sz w:val="22"/>
          <w:szCs w:val="22"/>
        </w:rPr>
        <w:t xml:space="preserve">PART FOUR</w:t>
      </w:r>
    </w:p>
    <w:p>
      <w:pPr>
        <w:pStyle w:val="Heading1"/>
        <w:spacing w:after="320" w:before="600"/>
      </w:pPr>
      <w:r>
        <w:rPr>
          <w:b/>
          <w:bCs/>
          <w:sz w:val="40"/>
          <w:szCs w:val="40"/>
        </w:rPr>
        <w:t xml:space="preserve">The Colour-Key Taxonomy</w:t>
      </w:r>
    </w:p>
    <w:p>
      <w:pPr>
        <w:spacing w:after="180"/>
      </w:pPr>
      <w:r>
        <w:t xml:space="preserve">A diagnostic tool for classifying systems by how they relate to substance-delivery. Four colours, each naming an operational position. The taxonomy is not a moral hierarchy in the usual sense; it is a structural diagnostic.</w:t>
      </w:r>
    </w:p>
    <w:p>
      <w:pPr>
        <w:pStyle w:val="Heading2"/>
        <w:spacing w:after="200" w:before="440"/>
      </w:pPr>
      <w:r>
        <w:rPr>
          <w:b/>
          <w:bCs/>
          <w:sz w:val="30"/>
          <w:szCs w:val="30"/>
        </w:rPr>
        <w:t xml:space="preserve">White — Clean Signal</w:t>
      </w:r>
    </w:p>
    <w:p>
      <w:pPr>
        <w:spacing w:after="180"/>
      </w:pPr>
      <w:r>
        <w:t xml:space="preserve">Substance and form aligned. No manipulation. The institution's name describes what it actually delivers; its surfaces are calibrated to deliver the substance honestly. The customer's experience corresponds to the institution's stated purpose.</w:t>
      </w:r>
    </w:p>
    <w:p>
      <w:pPr>
        <w:spacing w:after="180"/>
      </w:pPr>
      <w:r>
        <w:t xml:space="preserve">White is rare. Most institutions sit somewhere else on the taxonomy. White is the asymptote substantive counter-offers aim toward.</w:t>
      </w:r>
    </w:p>
    <w:p>
      <w:pPr>
        <w:pStyle w:val="Heading2"/>
        <w:spacing w:after="200" w:before="440"/>
      </w:pPr>
      <w:r>
        <w:rPr>
          <w:b/>
          <w:bCs/>
          <w:sz w:val="30"/>
          <w:szCs w:val="30"/>
        </w:rPr>
        <w:t xml:space="preserve">Gray — Well-Intentioned Attenuation</w:t>
      </w:r>
    </w:p>
    <w:p>
      <w:pPr>
        <w:spacing w:after="180"/>
      </w:pPr>
      <w:r>
        <w:t xml:space="preserve">Substance present, form slightly compromised by institutional default mechanisms — bureaucracy, procedure, scaling-friction. The institution still delivers the substance, but the delivery is rough at the edges. The compromise is not intentional hollowing; it is the cost of institutional existence.</w:t>
      </w:r>
    </w:p>
    <w:p>
      <w:pPr>
        <w:spacing w:after="180"/>
      </w:pPr>
      <w:r>
        <w:t xml:space="preserve">Most well-run institutions sit in gray. The diagnostic posture toward gray is patient — the institution can be improved without being rejected. Gray is not the enemy.</w:t>
      </w:r>
    </w:p>
    <w:p>
      <w:pPr>
        <w:pStyle w:val="Heading2"/>
        <w:spacing w:after="200" w:before="440"/>
      </w:pPr>
      <w:r>
        <w:rPr>
          <w:b/>
          <w:bCs/>
          <w:sz w:val="30"/>
          <w:szCs w:val="30"/>
        </w:rPr>
        <w:t xml:space="preserve">Brown — Manipulation in Service of Substance Delivery</w:t>
      </w:r>
    </w:p>
    <w:p>
      <w:pPr>
        <w:spacing w:after="180"/>
      </w:pPr>
      <w:r>
        <w:t xml:space="preserve">The institution uses manipulation tactics (marketing, persuasion, behavioural engineering) but the substance is actually delivered. Canonical example: a major global beverage brand. Heavy marketing. Sugar concerns. </w:t>
      </w:r>
      <w:r>
        <w:rPr>
          <w:i/>
          <w:iCs/>
        </w:rPr>
        <w:t xml:space="preserve">And</w:t>
      </w:r>
      <w:r>
        <w:t xml:space="preserve"> the product actually exists and delivers what it promises (carbonated sugar water at a consistent quality, available everywhere, at predictable price, in recognisable packaging).</w:t>
      </w:r>
    </w:p>
    <w:p>
      <w:pPr>
        <w:spacing w:after="180"/>
      </w:pPr>
      <w:r>
        <w:t xml:space="preserve">Brown is morally complicated. The manipulation is real and operates on customers in ways those customers would not consent to if asked plainly. </w:t>
      </w:r>
      <w:r>
        <w:rPr>
          <w:i/>
          <w:iCs/>
        </w:rPr>
        <w:t xml:space="preserve">And</w:t>
      </w:r>
      <w:r>
        <w:t xml:space="preserve"> the substance is delivered. The posture toward brown is alertness — the manipulation is filed; the substance is not refused.</w:t>
      </w:r>
    </w:p>
    <w:p>
      <w:pPr>
        <w:spacing w:after="180"/>
      </w:pPr>
      <w:r>
        <w:t xml:space="preserve">Historical constraint: the 1985 New Coke disaster demonstrated that brown institutions cannot freely hollow their core product. The customer base revolts when the substance is changed. Brown institutions are structurally constrained against hollowing the central thing the customer can taste.</w:t>
      </w:r>
    </w:p>
    <w:p>
      <w:pPr>
        <w:pStyle w:val="Heading2"/>
        <w:spacing w:after="200" w:before="440"/>
      </w:pPr>
      <w:r>
        <w:rPr>
          <w:b/>
          <w:bCs/>
          <w:sz w:val="30"/>
          <w:szCs w:val="30"/>
        </w:rPr>
        <w:t xml:space="preserve">Black — Manipulation That Hollows the Product</w:t>
      </w:r>
    </w:p>
    <w:p>
      <w:pPr>
        <w:spacing w:after="180"/>
      </w:pPr>
      <w:r>
        <w:t xml:space="preserve">The institution uses manipulation tactics AND the substance is being hollowed. The marketing increasingly disconnects from the actual product experience. The customer pays for the form, expecting the substance, and receives an experience-architecture monetised around the missing core.</w:t>
      </w:r>
    </w:p>
    <w:p>
      <w:pPr>
        <w:spacing w:after="180"/>
      </w:pPr>
      <w:r>
        <w:t xml:space="preserve">Canonical example: certain long-running global fast-food chains. The marketing reach has been preserved and amplified across decades. The actual food experience has been quietly degraded. The two trajectories — outward presentation and inward delivery — have diverged. </w:t>
      </w:r>
      <w:r>
        <w:rPr>
          <w:i/>
          <w:iCs/>
        </w:rPr>
        <w:t xml:space="preserve">Black is The Hollowing made operational at the institutional level.</w:t>
      </w:r>
    </w:p>
    <w:p>
      <w:pPr>
        <w:pStyle w:val="Heading2"/>
        <w:spacing w:after="200" w:before="440"/>
      </w:pPr>
      <w:r>
        <w:rPr>
          <w:b/>
          <w:bCs/>
          <w:sz w:val="30"/>
          <w:szCs w:val="30"/>
        </w:rPr>
        <w:t xml:space="preserve">Compassionate Gray — The Policy Sub-Classification</w:t>
      </w:r>
    </w:p>
    <w:p>
      <w:pPr>
        <w:spacing w:after="180"/>
      </w:pPr>
      <w:r>
        <w:t xml:space="preserve">A sub-classification surfacing from the policy-layer analysis: well-intentioned institutional or governmental action whose downstream structural effects produce black-equivalent harm without any party intending the harm. This is distinct from ordinary gray (well-intentioned attenuation that nonetheless delivers substance) because in Compassionate Gray the substance is not delivered — the operation's structural effects accelerate the very condition the institution is trying to address.</w:t>
      </w:r>
    </w:p>
    <w:p>
      <w:pPr>
        <w:spacing w:after="180"/>
      </w:pPr>
      <w:r>
        <w:t xml:space="preserve">The canonical case: state housing-affordability schemes that lower deposit requirements for first home buyers. The intent is purely compassionate; the discourse around the policy speaks only in terms of help; supporters genuinely believe they are reducing the harm of housing unaffordability. The structural effect — more debt-money created per loan, accelerated monetary debasement, raised property prices for the next cohort, subsidised family fragmentation — is operationally indistinguishable from black. The colour-key signature: </w:t>
      </w:r>
      <w:r>
        <w:rPr>
          <w:i/>
          <w:iCs/>
        </w:rPr>
        <w:t xml:space="preserve">pure compassion in surface, structural acceleration of harm in substance</w:t>
      </w:r>
      <w:r>
        <w:t xml:space="preserve">. The taxonomy's response to Compassionate Gray is the most delicate: the participants in good faith cannot be opposed without seeming to oppose compassion itself. </w:t>
      </w:r>
      <w:r>
        <w:rPr>
          <w:i/>
          <w:iCs/>
        </w:rPr>
        <w:t xml:space="preserve">The substantive response is the compressed diagnostic: structural harm in the form of compassionate help — naming the operation in language that holds the compassion of the actors while diagnosing the harm of the structure.</w:t>
      </w:r>
    </w:p>
    <w:p>
      <w:pPr>
        <w:spacing w:after="180"/>
      </w:pPr>
      <w:r>
        <w:t xml:space="preserve">Compassionate Gray operates because the diagnostic vocabulary to name it did not exist. The contribution of this document at this layer is the vocabulary.</w:t>
      </w:r>
    </w:p>
    <w:p>
      <w:pPr>
        <w:pStyle w:val="Heading3"/>
        <w:spacing w:after="140" w:before="280"/>
      </w:pPr>
      <w:r>
        <w:rPr>
          <w:b/>
          <w:bCs/>
          <w:i/>
          <w:iCs/>
          <w:sz w:val="26"/>
          <w:szCs w:val="26"/>
        </w:rPr>
        <w:t xml:space="preserve">Using the Taxonomy</w:t>
      </w:r>
    </w:p>
    <w:p>
      <w:pPr>
        <w:spacing w:after="180"/>
      </w:pPr>
      <w:r>
        <w:t xml:space="preserve">The diagnostic question for any system encountered: where does it sit on the colour-key? White, gray, brown, black, or Compassionate Gray? The honest answer informs the posture toward the system.</w:t>
      </w:r>
    </w:p>
    <w:p>
      <w:pPr>
        <w:pStyle w:val="ListParagraph"/>
        <w:numPr>
          <w:ilvl w:val="0"/>
          <w:numId w:val="2"/>
        </w:numPr>
        <w:spacing w:after="100"/>
      </w:pPr>
      <w:r>
        <w:rPr>
          <w:i/>
          <w:iCs/>
        </w:rPr>
        <w:t xml:space="preserve">White</w:t>
      </w:r>
      <w:r>
        <w:t xml:space="preserve">: participate, support, learn from.</w:t>
      </w:r>
    </w:p>
    <w:p>
      <w:pPr>
        <w:pStyle w:val="ListParagraph"/>
        <w:numPr>
          <w:ilvl w:val="0"/>
          <w:numId w:val="2"/>
        </w:numPr>
        <w:spacing w:after="100"/>
      </w:pPr>
      <w:r>
        <w:rPr>
          <w:i/>
          <w:iCs/>
        </w:rPr>
        <w:t xml:space="preserve">Gray</w:t>
      </w:r>
      <w:r>
        <w:t xml:space="preserve">: participate, improve where possible, be patient with institutional friction.</w:t>
      </w:r>
    </w:p>
    <w:p>
      <w:pPr>
        <w:pStyle w:val="ListParagraph"/>
        <w:numPr>
          <w:ilvl w:val="0"/>
          <w:numId w:val="2"/>
        </w:numPr>
        <w:spacing w:after="100"/>
      </w:pPr>
      <w:r>
        <w:rPr>
          <w:i/>
          <w:iCs/>
        </w:rPr>
        <w:t xml:space="preserve">Brown</w:t>
      </w:r>
      <w:r>
        <w:t xml:space="preserve">: participate with eyes open, file the manipulation, do not be deceived but do not refuse the substance.</w:t>
      </w:r>
    </w:p>
    <w:p>
      <w:pPr>
        <w:pStyle w:val="ListParagraph"/>
        <w:numPr>
          <w:ilvl w:val="0"/>
          <w:numId w:val="2"/>
        </w:numPr>
        <w:spacing w:after="100"/>
      </w:pPr>
      <w:r>
        <w:rPr>
          <w:i/>
          <w:iCs/>
        </w:rPr>
        <w:t xml:space="preserve">Black</w:t>
      </w:r>
      <w:r>
        <w:t xml:space="preserve">: minimise participation, name the operation when relevant, offer the counter-offer where one exists.</w:t>
      </w:r>
    </w:p>
    <w:p>
      <w:pPr>
        <w:pStyle w:val="ListParagraph"/>
        <w:numPr>
          <w:ilvl w:val="0"/>
          <w:numId w:val="2"/>
        </w:numPr>
        <w:spacing w:after="100"/>
      </w:pPr>
      <w:r>
        <w:rPr>
          <w:i/>
          <w:iCs/>
        </w:rPr>
        <w:t xml:space="preserve">Compassionate Gray</w:t>
      </w:r>
      <w:r>
        <w:t xml:space="preserve">: speak with care that holds the actors' good intent while naming the structural harm. The diagnostic vocabulary itself is the counter-offer.</w:t>
      </w:r>
    </w:p>
    <w:p>
      <w:pPr>
        <w:spacing w:after="180"/>
      </w:pPr>
      <w:r>
        <w:t xml:space="preserve">The taxonomy is a working tool for diagnosis. Application requires honest observation, not pre-loaded judgement.</w:t>
      </w:r>
    </w:p>
    <w:p>
      <w:r>
        <w:br w:type="page"/>
      </w:r>
    </w:p>
    <w:p>
      <w:pPr>
        <w:spacing w:after="80" w:before="200"/>
        <w:jc w:val="center"/>
      </w:pPr>
      <w:r>
        <w:rPr>
          <w:i/>
          <w:iCs/>
          <w:color w:val="555555"/>
          <w:sz w:val="22"/>
          <w:szCs w:val="22"/>
        </w:rPr>
        <w:t xml:space="preserve">PART FIVE</w:t>
      </w:r>
    </w:p>
    <w:p>
      <w:pPr>
        <w:pStyle w:val="Heading1"/>
        <w:spacing w:after="320" w:before="600"/>
      </w:pPr>
      <w:r>
        <w:rPr>
          <w:b/>
          <w:bCs/>
          <w:sz w:val="40"/>
          <w:szCs w:val="40"/>
        </w:rPr>
        <w:t xml:space="preserve">The Tests</w:t>
      </w:r>
    </w:p>
    <w:p>
      <w:pPr>
        <w:spacing w:after="180"/>
      </w:pPr>
      <w:r>
        <w:t xml:space="preserve">Four operational tests for diagnosing The Hollowing in candidate systems. Any one positive result is suggestive; multiple positive results across tests indicate the operation is present.</w:t>
      </w:r>
    </w:p>
    <w:p>
      <w:pPr>
        <w:pStyle w:val="Heading2"/>
        <w:spacing w:after="200" w:before="440"/>
      </w:pPr>
      <w:r>
        <w:rPr>
          <w:b/>
          <w:bCs/>
          <w:sz w:val="30"/>
          <w:szCs w:val="30"/>
        </w:rPr>
        <w:t xml:space="preserve">The Dark Arts Test</w:t>
      </w:r>
    </w:p>
    <w:p>
      <w:pPr>
        <w:spacing w:after="280" w:before="280"/>
        <w:jc w:val="center"/>
      </w:pPr>
      <w:r>
        <w:rPr>
          <w:i/>
          <w:iCs/>
          <w:sz w:val="28"/>
          <w:szCs w:val="28"/>
        </w:rPr>
        <w:t xml:space="preserve">If you have to manipulate people into showing up,</w:t>
      </w:r>
    </w:p>
    <w:p>
      <w:pPr>
        <w:spacing w:after="280" w:before="280"/>
        <w:jc w:val="center"/>
      </w:pPr>
      <w:r>
        <w:rPr>
          <w:i/>
          <w:iCs/>
          <w:sz w:val="28"/>
          <w:szCs w:val="28"/>
        </w:rPr>
        <w:t xml:space="preserve">the thing you're inviting them to isn't worth showing up for.</w:t>
      </w:r>
    </w:p>
    <w:p>
      <w:pPr>
        <w:spacing w:after="180"/>
      </w:pPr>
      <w:r>
        <w:t xml:space="preserve">Genuine substance does not require dark-arts tactics to draw people to it. The use of the tactics is itself the diagnostic that the substance is absent or insufficient. The megachurch with fog machines and dynamic lighting and emotional manipulation has admitted, by deploying those tactics, that the worship itself cannot fill the seats. The product launch that requires a multi-week pre-rollout campaign has admitted that the product cannot speak for itself. The dating app that requires gamification has admitted that the courtship it claims to facilitate does not happen there.</w:t>
      </w:r>
    </w:p>
    <w:p>
      <w:pPr>
        <w:spacing w:after="180"/>
      </w:pPr>
      <w:r>
        <w:t xml:space="preserve">Application: examine the marketing intensity of any system claiming to deliver substance. The intensity is inversely correlated with the substance. Where the marketing is extreme, the substance is hollowed.</w:t>
      </w:r>
    </w:p>
    <w:p>
      <w:pPr>
        <w:pStyle w:val="Heading2"/>
        <w:spacing w:after="200" w:before="440"/>
      </w:pPr>
      <w:r>
        <w:rPr>
          <w:b/>
          <w:bCs/>
          <w:sz w:val="30"/>
          <w:szCs w:val="30"/>
        </w:rPr>
        <w:t xml:space="preserve">The Form-Substance Test</w:t>
      </w:r>
    </w:p>
    <w:p>
      <w:pPr>
        <w:spacing w:after="180"/>
      </w:pPr>
      <w:r>
        <w:t xml:space="preserve">Does the form deliver the substance, or only the form's shape?</w:t>
      </w:r>
    </w:p>
    <w:p>
      <w:pPr>
        <w:spacing w:after="180"/>
      </w:pPr>
      <w:r>
        <w:t xml:space="preserve">Application: name what the form claims to deliver. Then examine whether what is actually delivered corresponds to the claim, or whether the delivery is the </w:t>
      </w:r>
      <w:r>
        <w:rPr>
          <w:i/>
          <w:iCs/>
        </w:rPr>
        <w:t xml:space="preserve">shape</w:t>
      </w:r>
      <w:r>
        <w:t xml:space="preserve"> of the claim with the contents removed. A </w:t>
      </w:r>
      <w:r>
        <w:rPr>
          <w:i/>
          <w:iCs/>
        </w:rPr>
        <w:t xml:space="preserve">meal</w:t>
      </w:r>
      <w:r>
        <w:t xml:space="preserve"> should leave the eater fed and satisfied. A </w:t>
      </w:r>
      <w:r>
        <w:rPr>
          <w:i/>
          <w:iCs/>
        </w:rPr>
        <w:t xml:space="preserve">prayer</w:t>
      </w:r>
      <w:r>
        <w:t xml:space="preserve"> should leave the prayer-er centred and connected. A </w:t>
      </w:r>
      <w:r>
        <w:rPr>
          <w:i/>
          <w:iCs/>
        </w:rPr>
        <w:t xml:space="preserve">meeting</w:t>
      </w:r>
      <w:r>
        <w:t xml:space="preserve"> should leave the participants with new shared understanding. Where the delivery is only the form's shape — the eater is hungry an hour later, the prayer was interrupted by an advertisement, the meeting produced no new shared understanding — The Hollowing is present.</w:t>
      </w:r>
    </w:p>
    <w:p>
      <w:pPr>
        <w:pStyle w:val="Heading2"/>
        <w:spacing w:after="200" w:before="440"/>
      </w:pPr>
      <w:r>
        <w:rPr>
          <w:b/>
          <w:bCs/>
          <w:sz w:val="30"/>
          <w:szCs w:val="30"/>
        </w:rPr>
        <w:t xml:space="preserve">The Wanting Test</w:t>
      </w:r>
    </w:p>
    <w:p>
      <w:pPr>
        <w:spacing w:after="180"/>
      </w:pPr>
      <w:r>
        <w:t xml:space="preserve">Does the customer leave wanting, in a structurally repeating way?</w:t>
      </w:r>
    </w:p>
    <w:p>
      <w:pPr>
        <w:spacing w:after="180"/>
      </w:pPr>
      <w:r>
        <w:t xml:space="preserve">Application: examine the customer's state immediately after the transaction. Not their stated satisfaction (which can be coached by the institution); their actual lived sufficiency. If the customer comes back compulsively, citing the desire for </w:t>
      </w:r>
      <w:r>
        <w:rPr>
          <w:i/>
          <w:iCs/>
        </w:rPr>
        <w:t xml:space="preserve">more</w:t>
      </w:r>
      <w:r>
        <w:t xml:space="preserve"> of what they just had, the institution is selling wanting itself. </w:t>
      </w:r>
      <w:r>
        <w:rPr>
          <w:i/>
          <w:iCs/>
        </w:rPr>
        <w:t xml:space="preserve">Left wanting</w:t>
      </w:r>
      <w:r>
        <w:t xml:space="preserve"> is the structural product of The Hollowing; its presence diagnoses the operation.</w:t>
      </w:r>
    </w:p>
    <w:p>
      <w:pPr>
        <w:pStyle w:val="Heading2"/>
        <w:spacing w:after="200" w:before="440"/>
      </w:pPr>
      <w:r>
        <w:rPr>
          <w:b/>
          <w:bCs/>
          <w:sz w:val="30"/>
          <w:szCs w:val="30"/>
        </w:rPr>
        <w:t xml:space="preserve">The Falsifiability Test</w:t>
      </w:r>
    </w:p>
    <w:p>
      <w:pPr>
        <w:spacing w:after="180"/>
      </w:pPr>
      <w:r>
        <w:t xml:space="preserve">Could this product fail honestly, or has the failure-mode been removed?</w:t>
      </w:r>
    </w:p>
    <w:p>
      <w:pPr>
        <w:spacing w:after="180"/>
      </w:pPr>
      <w:r>
        <w:t xml:space="preserve">Application: examine whether the institution's product can fail in a way that the institution would have to acknowledge. The hollowed product is typically engineered so that the failure-mode is invisible to the institution's metrics — engagement remains high, attention remains captured, churn is below the threshold for institutional concern. The product's failure-mode for the customer (left wanting, dignity hollowed, attention farmed) is not the institution's failure-mode.</w:t>
      </w:r>
    </w:p>
    <w:p>
      <w:pPr>
        <w:spacing w:after="180"/>
      </w:pPr>
      <w:r>
        <w:t xml:space="preserve">Where the institution and the customer have different definitions of failure, and the institution's definition has been engineered to exclude the customer's actual experience, The Hollowing has been operationalised.</w:t>
      </w:r>
    </w:p>
    <w:p>
      <w:pPr>
        <w:pStyle w:val="Heading2"/>
        <w:spacing w:after="200" w:before="440"/>
      </w:pPr>
      <w:r>
        <w:rPr>
          <w:b/>
          <w:bCs/>
          <w:sz w:val="30"/>
          <w:szCs w:val="30"/>
        </w:rPr>
        <w:t xml:space="preserve">The Invisibility Test</w:t>
      </w:r>
    </w:p>
    <w:p>
      <w:pPr>
        <w:spacing w:after="180"/>
      </w:pPr>
      <w:r>
        <w:t xml:space="preserve">Does the operation evade public diagnosis through opacity + dispersal + delay?</w:t>
      </w:r>
    </w:p>
    <w:p>
      <w:pPr>
        <w:spacing w:after="180"/>
      </w:pPr>
      <w:r>
        <w:t xml:space="preserve">Application: examine whether the operation's mechanism is documented (opacity check), whether the consequences are aggregated across a population in small per-person shares (dispersal check), and whether the harm arrives temporally distant from the act that produces it (delay check). When all three are present, the operation is in its most sophisticated form — visible to those with the diagnostic vocabulary, invisible to those without. The Bank of England's </w:t>
      </w:r>
      <w:r>
        <w:rPr>
          <w:i/>
          <w:iCs/>
        </w:rPr>
        <w:t xml:space="preserve">Money Creation in the Modern Economy</w:t>
      </w:r>
      <w:r>
        <w:t xml:space="preserve"> paper is the working example: the mechanism is documented by the central bank itself; the consequences are dispersed across the entire currency-holding population; the harm arrives years after the lending event. All three invisibility factors operative; the operation persists at population-scale despite full disclosure.</w:t>
      </w:r>
    </w:p>
    <w:p>
      <w:pPr>
        <w:spacing w:after="180"/>
      </w:pPr>
      <w:r>
        <w:t xml:space="preserve">The diagnostic significance: where the invisibility cloak is operating, the counter-offer must include the diagnostic vocabulary itself, not merely an alternative product. </w:t>
      </w:r>
      <w:r>
        <w:rPr>
          <w:i/>
          <w:iCs/>
        </w:rPr>
        <w:t xml:space="preserve">To name the operation is the first move; the substantive alternative is the second.</w:t>
      </w:r>
    </w:p>
    <w:p>
      <w:r>
        <w:br w:type="page"/>
      </w:r>
    </w:p>
    <w:p>
      <w:pPr>
        <w:spacing w:after="80" w:before="200"/>
        <w:jc w:val="center"/>
      </w:pPr>
      <w:r>
        <w:rPr>
          <w:i/>
          <w:iCs/>
          <w:color w:val="555555"/>
          <w:sz w:val="22"/>
          <w:szCs w:val="22"/>
        </w:rPr>
        <w:t xml:space="preserve">PART SIX</w:t>
      </w:r>
    </w:p>
    <w:p>
      <w:pPr>
        <w:pStyle w:val="Heading1"/>
        <w:spacing w:after="320" w:before="600"/>
      </w:pPr>
      <w:r>
        <w:rPr>
          <w:b/>
          <w:bCs/>
          <w:sz w:val="40"/>
          <w:szCs w:val="40"/>
        </w:rPr>
        <w:t xml:space="preserve">The Counter-Offers</w:t>
      </w:r>
    </w:p>
    <w:p>
      <w:pPr>
        <w:spacing w:after="180"/>
      </w:pPr>
      <w:r>
        <w:t xml:space="preserve">Substantive alternatives cohere as counter-offers to specific Hollowing operations. The architecture is now visible enough to be named systematically.</w:t>
      </w:r>
    </w:p>
    <w:p>
      <w:pPr>
        <w:pStyle w:val="Heading2"/>
        <w:spacing w:after="200" w:before="440"/>
      </w:pPr>
      <w:r>
        <w:rPr>
          <w:b/>
          <w:bCs/>
          <w:sz w:val="30"/>
          <w:szCs w:val="30"/>
        </w:rPr>
        <w:t xml:space="preserve">Source-Language Recovery vs Translation-Hollowing</w:t>
      </w:r>
    </w:p>
    <w:p>
      <w:pPr>
        <w:spacing w:after="180"/>
      </w:pPr>
      <w:r>
        <w:t xml:space="preserve">Smoothed translations hollow source-language voltage by collapsing into translation-defaults that defer, depoliticise, and decontextualise the original. Source-language recovery restores depth — Hebrew, Greek, Aramaic, Latin — restoring what the smoothing removed. The form (the text) is preserved; the substance (the source-language operation) is restored.</w:t>
      </w:r>
    </w:p>
    <w:p>
      <w:pPr>
        <w:pStyle w:val="Heading2"/>
        <w:spacing w:after="200" w:before="440"/>
      </w:pPr>
      <w:r>
        <w:rPr>
          <w:b/>
          <w:bCs/>
          <w:sz w:val="30"/>
          <w:szCs w:val="30"/>
        </w:rPr>
        <w:t xml:space="preserve">Sound Money vs Vapour Money</w:t>
      </w:r>
    </w:p>
    <w:p>
      <w:pPr>
        <w:spacing w:after="180"/>
      </w:pPr>
      <w:r>
        <w:t xml:space="preserve">Vapour money hollows stored human effort by inflating away the units. Sound money — scarce, hard to inflate, anchored — preserves the stored effort. The Hollowing applied to money is </w:t>
      </w:r>
      <w:r>
        <w:rPr>
          <w:i/>
          <w:iCs/>
        </w:rPr>
        <w:t xml:space="preserve">time-theft</w:t>
      </w:r>
      <w:r>
        <w:t xml:space="preserve">; sound money is the counter-operation. The form (currency) preserved; the substance (stored effort) restored.</w:t>
      </w:r>
    </w:p>
    <w:p>
      <w:pPr>
        <w:pStyle w:val="Heading2"/>
        <w:spacing w:after="200" w:before="440"/>
      </w:pPr>
      <w:r>
        <w:rPr>
          <w:b/>
          <w:bCs/>
          <w:sz w:val="30"/>
          <w:szCs w:val="30"/>
        </w:rPr>
        <w:t xml:space="preserve">Band-Scale Community vs Algorithmic Feed</w:t>
      </w:r>
    </w:p>
    <w:p>
      <w:pPr>
        <w:spacing w:after="180"/>
      </w:pPr>
      <w:r>
        <w:t xml:space="preserve">Algorithmic feeds hollow community by replacing reciprocal relational time with engagement-optimised content streams. Band-scale community — small groups meeting in person, sustained relationships across years, mutual obligation in physical space — restores the substance. The form (community) preserved; the substance (mutual presence) restored.</w:t>
      </w:r>
    </w:p>
    <w:p>
      <w:pPr>
        <w:pStyle w:val="Heading2"/>
        <w:spacing w:after="200" w:before="440"/>
      </w:pPr>
      <w:r>
        <w:rPr>
          <w:b/>
          <w:bCs/>
          <w:sz w:val="30"/>
          <w:szCs w:val="30"/>
        </w:rPr>
        <w:t xml:space="preserve">Physical Substance vs App-Mediated Form</w:t>
      </w:r>
    </w:p>
    <w:p>
      <w:pPr>
        <w:spacing w:after="180"/>
      </w:pPr>
      <w:r>
        <w:t xml:space="preserve">Apps hollow attention through ad-revenue extraction and gamified engagement. Physical, durable artefacts — books, printed tablets, hand-held devotional materials — are present in the body's space rather than on the device's screen, free of intermediating advertising. The form (daily practice) preserved; the substance (uninterrupted attention) restored.</w:t>
      </w:r>
    </w:p>
    <w:p>
      <w:pPr>
        <w:pStyle w:val="Heading2"/>
        <w:spacing w:after="200" w:before="440"/>
      </w:pPr>
      <w:r>
        <w:rPr>
          <w:b/>
          <w:bCs/>
          <w:sz w:val="30"/>
          <w:szCs w:val="30"/>
        </w:rPr>
        <w:t xml:space="preserve">AND-Also vs False Choice</w:t>
      </w:r>
    </w:p>
    <w:p>
      <w:pPr>
        <w:spacing w:after="180"/>
      </w:pPr>
      <w:r>
        <w:t xml:space="preserve">The Hollowing offers false choices — faith OR medicine, prayer OR psychiatry, scripture OR the cardiologist. The </w:t>
      </w:r>
      <w:r>
        <w:rPr>
          <w:i/>
          <w:iCs/>
        </w:rPr>
        <w:t xml:space="preserve">AND-also</w:t>
      </w:r>
      <w:r>
        <w:t xml:space="preserve"> stance refuses the false choice and restores the substance both registers were meant to deliver. The form (the choice) is replaced; the substance (both registers operating together) is restored.</w:t>
      </w:r>
    </w:p>
    <w:p>
      <w:pPr>
        <w:pStyle w:val="Heading2"/>
        <w:spacing w:after="200" w:before="440"/>
      </w:pPr>
      <w:r>
        <w:rPr>
          <w:b/>
          <w:bCs/>
          <w:sz w:val="30"/>
          <w:szCs w:val="30"/>
        </w:rPr>
        <w:t xml:space="preserve">Practitioner Discipline vs Influencer Optimisation</w:t>
      </w:r>
    </w:p>
    <w:p>
      <w:pPr>
        <w:spacing w:after="180"/>
      </w:pPr>
      <w:r>
        <w:t xml:space="preserve">Influencer-scale optimisation hollows authority by replacing substantive practice with audience-optimised content production. Practitioner discipline — sustained practice as the bulk of the work, refinement as the next portion, surface-presentation as the smallest visible portion — restores the proportions. The form (the visible work) preserved; the substance (the practice behind the work) restored.</w:t>
      </w:r>
    </w:p>
    <w:p>
      <w:pPr>
        <w:pStyle w:val="Heading2"/>
        <w:spacing w:after="200" w:before="440"/>
      </w:pPr>
      <w:r>
        <w:rPr>
          <w:b/>
          <w:bCs/>
          <w:sz w:val="30"/>
          <w:szCs w:val="30"/>
        </w:rPr>
        <w:t xml:space="preserve">Wound Transformation vs Identity Preservation</w:t>
      </w:r>
    </w:p>
    <w:p>
      <w:pPr>
        <w:spacing w:after="180"/>
      </w:pPr>
      <w:r>
        <w:t xml:space="preserve">Frameworks that treat wounds as identity to be defended or trauma to be processed indefinitely hollow the wound's transformative possibility. Substantive wound-traditions name the active reading: the wound is consumed back into source, the threat is absorbed into the love-that-doesn't-separate. The form (acknowledgement of the wound) preserved; the substance (the wound's transformation rather than its preservation as identity) restored.</w:t>
      </w:r>
    </w:p>
    <w:p>
      <w:pPr>
        <w:pStyle w:val="Heading3"/>
        <w:spacing w:after="140" w:before="280"/>
      </w:pPr>
      <w:r>
        <w:rPr>
          <w:b/>
          <w:bCs/>
          <w:i/>
          <w:iCs/>
          <w:sz w:val="26"/>
          <w:szCs w:val="26"/>
        </w:rPr>
        <w:t xml:space="preserve">The Pattern Across the Counter-Offers</w:t>
      </w:r>
    </w:p>
    <w:p>
      <w:pPr>
        <w:spacing w:after="180"/>
      </w:pPr>
      <w:r>
        <w:t xml:space="preserve">Each counter-offer follows the same structural move: name what The Hollowing took, and offer the substance back, often by recovering an older operation the smoothing had removed. The counter-offers do not require destroying the institutions doing The Hollowing. They require building the substantive alternative alongside, so the substance remains available for those who recognise the form has been hollowed.</w:t>
      </w:r>
    </w:p>
    <w:p>
      <w:r>
        <w:br w:type="page"/>
      </w:r>
    </w:p>
    <w:p>
      <w:pPr>
        <w:spacing w:after="80" w:before="200"/>
        <w:jc w:val="center"/>
      </w:pPr>
      <w:r>
        <w:rPr>
          <w:i/>
          <w:iCs/>
          <w:color w:val="555555"/>
          <w:sz w:val="22"/>
          <w:szCs w:val="22"/>
        </w:rPr>
        <w:t xml:space="preserve">PART SEVEN</w:t>
      </w:r>
    </w:p>
    <w:p>
      <w:pPr>
        <w:pStyle w:val="Heading1"/>
        <w:spacing w:after="320" w:before="600"/>
      </w:pPr>
      <w:r>
        <w:rPr>
          <w:b/>
          <w:bCs/>
          <w:sz w:val="40"/>
          <w:szCs w:val="40"/>
        </w:rPr>
        <w:t xml:space="preserve">The Lineage of Thinkers</w:t>
      </w:r>
    </w:p>
    <w:p>
      <w:pPr>
        <w:spacing w:after="180"/>
      </w:pPr>
      <w:r>
        <w:t xml:space="preserve">The Hollowing as a unified operation is recent in its naming. Pieces of the pattern have been observed by many thinkers across the last century. This work stands in their lineage.</w:t>
      </w:r>
    </w:p>
    <w:p>
      <w:pPr>
        <w:pStyle w:val="Heading2"/>
        <w:spacing w:after="200" w:before="440"/>
      </w:pPr>
      <w:r>
        <w:rPr>
          <w:b/>
          <w:bCs/>
          <w:sz w:val="30"/>
          <w:szCs w:val="30"/>
        </w:rPr>
        <w:t xml:space="preserve">Walter Lippmann — *Public Opinion* (1922)</w:t>
      </w:r>
    </w:p>
    <w:p>
      <w:pPr>
        <w:spacing w:after="180"/>
      </w:pPr>
      <w:r>
        <w:t xml:space="preserve">Named the manufactured nature of consent in mass democracy. The public's image of reality is not reality; it is the constructed image of reality assembled by intermediating institutions. </w:t>
      </w:r>
      <w:r>
        <w:rPr>
          <w:i/>
          <w:iCs/>
        </w:rPr>
        <w:t xml:space="preserve">Construct of the truth, not the truth</w:t>
      </w:r>
      <w:r>
        <w:t xml:space="preserve"> — Lippmann named the operation in proto-form a century ago.</w:t>
      </w:r>
    </w:p>
    <w:p>
      <w:pPr>
        <w:pStyle w:val="Heading2"/>
        <w:spacing w:after="200" w:before="440"/>
      </w:pPr>
      <w:r>
        <w:rPr>
          <w:b/>
          <w:bCs/>
          <w:sz w:val="30"/>
          <w:szCs w:val="30"/>
        </w:rPr>
        <w:t xml:space="preserve">Edward Bernays — *Propaganda* (1928)</w:t>
      </w:r>
    </w:p>
    <w:p>
      <w:pPr>
        <w:spacing w:after="180"/>
      </w:pPr>
      <w:r>
        <w:t xml:space="preserve">Lippmann's nephew and the more operationally explicit cousin. Bernays named the manufacturing process from inside the practice. He understood the operation he was running. He named it openly and built a career deploying it. </w:t>
      </w:r>
      <w:r>
        <w:rPr>
          <w:i/>
          <w:iCs/>
        </w:rPr>
        <w:t xml:space="preserve">The most effective propaganda is the propaganda that frames itself as the absence of propaganda</w:t>
      </w:r>
      <w:r>
        <w:t xml:space="preserve"> — Bernays would have agreed; that is precisely what he was selling.</w:t>
      </w:r>
    </w:p>
    <w:p>
      <w:pPr>
        <w:pStyle w:val="Heading2"/>
        <w:spacing w:after="200" w:before="440"/>
      </w:pPr>
      <w:r>
        <w:rPr>
          <w:b/>
          <w:bCs/>
          <w:sz w:val="30"/>
          <w:szCs w:val="30"/>
        </w:rPr>
        <w:t xml:space="preserve">Herman &amp; Chomsky — *Manufacturing Consent* (1988)</w:t>
      </w:r>
    </w:p>
    <w:p>
      <w:pPr>
        <w:spacing w:after="180"/>
      </w:pPr>
      <w:r>
        <w:t xml:space="preserve">The five-filter model of media operation: ownership, advertising, sourcing, flak, ideology. Applied specifically to news media, the model identifies the Hollowing operation as structural rather than intentional — the filters select for certain coverage and exclude other coverage without anyone needing to consciously direct the outcome. </w:t>
      </w:r>
      <w:r>
        <w:rPr>
          <w:i/>
          <w:iCs/>
        </w:rPr>
        <w:t xml:space="preserve">Emergent corruption</w:t>
      </w:r>
      <w:r>
        <w:t xml:space="preserve">, named decades before the term itself settled into the vocabulary.</w:t>
      </w:r>
    </w:p>
    <w:p>
      <w:pPr>
        <w:pStyle w:val="Heading2"/>
        <w:spacing w:after="200" w:before="440"/>
      </w:pPr>
      <w:r>
        <w:rPr>
          <w:b/>
          <w:bCs/>
          <w:sz w:val="30"/>
          <w:szCs w:val="30"/>
        </w:rPr>
        <w:t xml:space="preserve">Robert Putnam — *Bowling Alone* (2000)</w:t>
      </w:r>
    </w:p>
    <w:p>
      <w:pPr>
        <w:spacing w:after="180"/>
      </w:pPr>
      <w:r>
        <w:t xml:space="preserve">Documented the empirical decline of American social capital across the second half of the twentieth century. Civic participation down, group membership down, neighbourhood relationship density down. The decline pre-dates social media; social media intensified an existing trajectory. Putnam's empirical work is the substrate the </w:t>
      </w:r>
      <w:r>
        <w:rPr>
          <w:i/>
          <w:iCs/>
        </w:rPr>
        <w:t xml:space="preserve">band-scale community</w:t>
      </w:r>
      <w:r>
        <w:t xml:space="preserve"> counter-offer was built against.</w:t>
      </w:r>
    </w:p>
    <w:p>
      <w:pPr>
        <w:pStyle w:val="Heading2"/>
        <w:spacing w:after="200" w:before="440"/>
      </w:pPr>
      <w:r>
        <w:rPr>
          <w:b/>
          <w:bCs/>
          <w:sz w:val="30"/>
          <w:szCs w:val="30"/>
        </w:rPr>
        <w:t xml:space="preserve">Sherry Turkle — *Reclaiming Conversation* (2015)</w:t>
      </w:r>
    </w:p>
    <w:p>
      <w:pPr>
        <w:spacing w:after="180"/>
      </w:pPr>
      <w:r>
        <w:t xml:space="preserve">Documented the hollowing of conversation by digital intermediation. Same room, different screens. Family meals interrupted by notifications. The form (people in proximity) preserved; the substance (mutual presence) hollowed. Turkle's clinical observations of family dynamics map directly onto the family-domain catches in this document.</w:t>
      </w:r>
    </w:p>
    <w:p>
      <w:pPr>
        <w:pStyle w:val="Heading2"/>
        <w:spacing w:after="200" w:before="440"/>
      </w:pPr>
      <w:r>
        <w:rPr>
          <w:b/>
          <w:bCs/>
          <w:sz w:val="30"/>
          <w:szCs w:val="30"/>
        </w:rPr>
        <w:t xml:space="preserve">Jonathan Haidt — *The Anxious Generation* (2024)</w:t>
      </w:r>
    </w:p>
    <w:p>
      <w:pPr>
        <w:spacing w:after="180"/>
      </w:pPr>
      <w:r>
        <w:t xml:space="preserve">Documented the empirical trajectory of mental-health decline in adolescent girls coincident with smartphone-and-social-media adoption from 2012 onward. The Hollowing applied to adolescent development — the form (growing up) maintained, the substance (the developmental work of adolescence) hollowed by attention-extraction during the years it was supposed to happen.</w:t>
      </w:r>
    </w:p>
    <w:p>
      <w:pPr>
        <w:pStyle w:val="Heading2"/>
        <w:spacing w:after="200" w:before="440"/>
      </w:pPr>
      <w:r>
        <w:rPr>
          <w:b/>
          <w:bCs/>
          <w:sz w:val="30"/>
          <w:szCs w:val="30"/>
        </w:rPr>
        <w:t xml:space="preserve">Tara Isabella Burton — *Strange Rites* (2020)</w:t>
      </w:r>
    </w:p>
    <w:p>
      <w:pPr>
        <w:spacing w:after="180"/>
      </w:pPr>
      <w:r>
        <w:t xml:space="preserve">Documented the rise of religion-substitute movements as institutional religion declined. The form (transcendence-seeking) maintained; the substance (sustained religious practice in community) replaced by wellness-influencer subscriptions, aestheticised spirituality, and parasocial relationships with charismatic personalities. The </w:t>
      </w:r>
      <w:r>
        <w:rPr>
          <w:i/>
          <w:iCs/>
        </w:rPr>
        <w:t xml:space="preserve">religion-shaped hole</w:t>
      </w:r>
      <w:r>
        <w:t xml:space="preserve"> dynamic that allows charismatic financial-doomsayers and other secular preacher-figures to fill the void left by religious decline — Burton named the substrate.</w:t>
      </w:r>
    </w:p>
    <w:p>
      <w:pPr>
        <w:pStyle w:val="Heading2"/>
        <w:spacing w:after="200" w:before="440"/>
      </w:pPr>
      <w:r>
        <w:rPr>
          <w:b/>
          <w:bCs/>
          <w:sz w:val="30"/>
          <w:szCs w:val="30"/>
        </w:rPr>
        <w:t xml:space="preserve">Joseph Bottum — *An Anxious Age* (2014)</w:t>
      </w:r>
    </w:p>
    <w:p>
      <w:pPr>
        <w:spacing w:after="180"/>
      </w:pPr>
      <w:r>
        <w:t xml:space="preserve">Companion to Burton, focused on the specifically Protestant decline. The mainline-Protestant ethical sensibility persists in post-Christian American culture as a moralising-without-substance operation. The form (Christian ethics) maintained in cultural posture; the substance (Christian practice, Christian community, Christian scripture-engagement) departed.</w:t>
      </w:r>
    </w:p>
    <w:p>
      <w:pPr>
        <w:pStyle w:val="Heading2"/>
        <w:spacing w:after="200" w:before="440"/>
      </w:pPr>
      <w:r>
        <w:rPr>
          <w:b/>
          <w:bCs/>
          <w:sz w:val="30"/>
          <w:szCs w:val="30"/>
        </w:rPr>
        <w:t xml:space="preserve">Thorstein Veblen — *Theory of the Leisure Class* (1899)</w:t>
      </w:r>
    </w:p>
    <w:p>
      <w:pPr>
        <w:spacing w:after="180"/>
      </w:pPr>
      <w:r>
        <w:t xml:space="preserve">Named </w:t>
      </w:r>
      <w:r>
        <w:rPr>
          <w:i/>
          <w:iCs/>
        </w:rPr>
        <w:t xml:space="preserve">conspicuous consumption</w:t>
      </w:r>
      <w:r>
        <w:t xml:space="preserve"> as the operational mechanism by which wealth becomes status-signal. Substance-of-purchase replaced by display-of-purchase. The current boom in oversized status vehicles is exactly the operation Veblen described. The signal-of-wealth becomes the substitute-for-the-thing-the-wealth-would-have-purchased.</w:t>
      </w:r>
    </w:p>
    <w:p>
      <w:pPr>
        <w:pStyle w:val="Heading2"/>
        <w:spacing w:after="200" w:before="440"/>
      </w:pPr>
      <w:r>
        <w:rPr>
          <w:b/>
          <w:bCs/>
          <w:sz w:val="30"/>
          <w:szCs w:val="30"/>
        </w:rPr>
        <w:t xml:space="preserve">Nir Eyal — *Hooked* (2014)</w:t>
      </w:r>
    </w:p>
    <w:p>
      <w:pPr>
        <w:spacing w:after="180"/>
      </w:pPr>
      <w:r>
        <w:t xml:space="preserve">Engineering manual for behavioural addiction in software products. The book is on the operating side of the Hollowing line — it instructs designers on how to engineer compulsive use, which is to say, on how to hollow the customer's attention while monetising the absence. Eyal is to digital-attention what Bernays was to consent. The substantive counter-response is the inverse — engineer for substance, not for compulsion.</w:t>
      </w:r>
    </w:p>
    <w:p>
      <w:pPr>
        <w:pStyle w:val="Heading2"/>
        <w:spacing w:after="200" w:before="440"/>
      </w:pPr>
      <w:r>
        <w:rPr>
          <w:b/>
          <w:bCs/>
          <w:sz w:val="30"/>
          <w:szCs w:val="30"/>
        </w:rPr>
        <w:t xml:space="preserve">Mark Douglas — *Trading in the Zone* (2000)</w:t>
      </w:r>
    </w:p>
    <w:p>
      <w:pPr>
        <w:spacing w:after="180"/>
      </w:pPr>
      <w:r>
        <w:t xml:space="preserve">Douglas's </w:t>
      </w:r>
      <w:r>
        <w:rPr>
          <w:i/>
          <w:iCs/>
        </w:rPr>
        <w:t xml:space="preserve">charged beliefs</w:t>
      </w:r>
      <w:r>
        <w:t xml:space="preserve"> framework maps directly onto the structure of held wounds operating as gravity-wells. The trader who has not surfaced and disarmed their charged beliefs is being moved by the beliefs without knowing it. Douglas operationalised in trading-psychology the same dynamic substantive religious traditions name in different vocabularies. The principle generalises: held beliefs operate; the practitioner is wise to know what is operating.</w:t>
      </w:r>
    </w:p>
    <w:p>
      <w:pPr>
        <w:pStyle w:val="Heading2"/>
        <w:spacing w:after="200" w:before="440"/>
      </w:pPr>
      <w:r>
        <w:rPr>
          <w:b/>
          <w:bCs/>
          <w:sz w:val="30"/>
          <w:szCs w:val="30"/>
        </w:rPr>
        <w:t xml:space="preserve">Lyman Stone — Institute for Family Studies research (2020s)</w:t>
      </w:r>
    </w:p>
    <w:p>
      <w:pPr>
        <w:spacing w:after="180"/>
      </w:pPr>
      <w:r>
        <w:t xml:space="preserve">Stone's demographic research on the inverse correlation between housing-cost-to-income ratios and fertility rates documents what the Family Formation domain names: the monetary substrate is upstream of the fertility decline, transmitted through the housing-cost channel. Where Burton named the religion-shaped hole and Putnam named the community-shaped hole, Stone names the family-shaped hole, and traces it with demographic precision back to the economic conditions read here as monetary debasement. Stone produced the empirical substrate that lets the Family Formation diagnostic stand on demographic data, not just structural intuition.</w:t>
      </w:r>
    </w:p>
    <w:p>
      <w:r>
        <w:br w:type="page"/>
      </w:r>
    </w:p>
    <w:p>
      <w:pPr>
        <w:spacing w:after="80" w:before="200"/>
        <w:jc w:val="center"/>
      </w:pPr>
      <w:r>
        <w:rPr>
          <w:i/>
          <w:iCs/>
          <w:color w:val="555555"/>
          <w:sz w:val="22"/>
          <w:szCs w:val="22"/>
        </w:rPr>
        <w:t xml:space="preserve">PART EIGHT</w:t>
      </w:r>
    </w:p>
    <w:p>
      <w:pPr>
        <w:pStyle w:val="Heading1"/>
        <w:spacing w:after="320" w:before="600"/>
      </w:pPr>
      <w:r>
        <w:rPr>
          <w:b/>
          <w:bCs/>
          <w:sz w:val="40"/>
          <w:szCs w:val="40"/>
        </w:rPr>
        <w:t xml:space="preserve">The Limit-Case Markers</w:t>
      </w:r>
    </w:p>
    <w:p>
      <w:pPr>
        <w:spacing w:after="180"/>
      </w:pPr>
      <w:r>
        <w:t xml:space="preserve">The Hollowing has a finite runway. The model devours itself — at first slowly, then suddenly. The markers below indicate when an institution or system has reached the terminal phase.</w:t>
      </w:r>
    </w:p>
    <w:p>
      <w:pPr>
        <w:pStyle w:val="Heading2"/>
        <w:spacing w:after="200" w:before="440"/>
      </w:pPr>
      <w:r>
        <w:rPr>
          <w:b/>
          <w:bCs/>
          <w:sz w:val="30"/>
          <w:szCs w:val="30"/>
        </w:rPr>
        <w:t xml:space="preserve">The Price-Action Marker</w:t>
      </w:r>
    </w:p>
    <w:p>
      <w:pPr>
        <w:spacing w:after="180"/>
      </w:pPr>
      <w:r>
        <w:t xml:space="preserve">When the institution's market price-action begins to break the long-term trend that the form (the institution's continued existence) was supporting, the model is arriving at terminal.</w:t>
      </w:r>
    </w:p>
    <w:p>
      <w:pPr>
        <w:spacing w:after="180"/>
      </w:pPr>
      <w:r>
        <w:t xml:space="preserve">Recent equity price-action in long-running fast-food chains shows this dynamic: all-time highs followed by sharp declines, long-term moving-average trends broken on the downside, analyst downgrades, comp-store sales decelerating. The Hollowing thesis has reached the market's price-discovery surface. The market is beginning to price what the customers have been experiencing.</w:t>
      </w:r>
    </w:p>
    <w:p>
      <w:pPr>
        <w:pStyle w:val="Heading2"/>
        <w:spacing w:after="200" w:before="440"/>
      </w:pPr>
      <w:r>
        <w:rPr>
          <w:b/>
          <w:bCs/>
          <w:sz w:val="30"/>
          <w:szCs w:val="30"/>
        </w:rPr>
        <w:t xml:space="preserve">The Discourse Marker</w:t>
      </w:r>
    </w:p>
    <w:p>
      <w:pPr>
        <w:spacing w:after="180"/>
      </w:pPr>
      <w:r>
        <w:t xml:space="preserve">When the diagnostic vocabulary for the institution's hollowing becomes available in mainstream discourse, the operation has lost its invisibility. The hollowing depends on not being named; once named widely, the operation cannot continue at the same scale.</w:t>
      </w:r>
    </w:p>
    <w:p>
      <w:pPr>
        <w:spacing w:after="180"/>
      </w:pPr>
      <w:r>
        <w:t xml:space="preserve">This marker is in early phase. The vocabulary for naming The Hollowing as a unified operation is just beginning to settle. Documents like this one are part of that settling.</w:t>
      </w:r>
    </w:p>
    <w:p>
      <w:pPr>
        <w:pStyle w:val="Heading2"/>
        <w:spacing w:after="200" w:before="440"/>
      </w:pPr>
      <w:r>
        <w:rPr>
          <w:b/>
          <w:bCs/>
          <w:sz w:val="30"/>
          <w:szCs w:val="30"/>
        </w:rPr>
        <w:t xml:space="preserve">The Employee-Departure Marker</w:t>
      </w:r>
    </w:p>
    <w:p>
      <w:pPr>
        <w:spacing w:after="180"/>
      </w:pPr>
      <w:r>
        <w:t xml:space="preserve">When the institution's own employees, particularly those with long memory, begin departing and naming the hollowing on their way out, the institution is in late-terminal phase. The institution's own memory of what it used to be is leaking from the institution and becoming public.</w:t>
      </w:r>
    </w:p>
    <w:p>
      <w:pPr>
        <w:pStyle w:val="Heading2"/>
        <w:spacing w:after="200" w:before="440"/>
      </w:pPr>
      <w:r>
        <w:rPr>
          <w:b/>
          <w:bCs/>
          <w:sz w:val="30"/>
          <w:szCs w:val="30"/>
        </w:rPr>
        <w:t xml:space="preserve">The Substrate-Depletion Marker</w:t>
      </w:r>
    </w:p>
    <w:p>
      <w:pPr>
        <w:spacing w:after="180"/>
      </w:pPr>
      <w:r>
        <w:t xml:space="preserve">When the institution can no longer find the substrate it requires for its operations — talented employees who would once have joined, suppliers willing to maintain prior quality at the price-point the institution will pay, customers willing to absorb the next round of hollowing — the institution is at terminal. The Hollowing has consumed the substrate the Hollowing required.</w:t>
      </w:r>
    </w:p>
    <w:p>
      <w:pPr>
        <w:pStyle w:val="Heading2"/>
        <w:spacing w:after="200" w:before="440"/>
      </w:pPr>
      <w:r>
        <w:rPr>
          <w:b/>
          <w:bCs/>
          <w:sz w:val="30"/>
          <w:szCs w:val="30"/>
        </w:rPr>
        <w:t xml:space="preserve">The Counter-Offer Marker</w:t>
      </w:r>
    </w:p>
    <w:p>
      <w:pPr>
        <w:spacing w:after="180"/>
      </w:pPr>
      <w:r>
        <w:t xml:space="preserve">When substantive counter-offers emerge and gain traction at scale, the institutions doing the Hollowing face structural rather than incremental pressure. Various substantive counter-offers (source-language scripture recovery, sound money initiatives, band-scale community renewal, physical-artefact devotional practices) are at small scale at present. Their scale-trajectory is the marker to watch over the next decade.</w:t>
      </w:r>
    </w:p>
    <w:p>
      <w:pPr>
        <w:pStyle w:val="Heading2"/>
        <w:spacing w:after="200" w:before="440"/>
      </w:pPr>
      <w:r>
        <w:rPr>
          <w:b/>
          <w:bCs/>
          <w:sz w:val="30"/>
          <w:szCs w:val="30"/>
        </w:rPr>
        <w:t xml:space="preserve">The Compassion-Acceleration Marker</w:t>
      </w:r>
    </w:p>
    <w:p>
      <w:pPr>
        <w:spacing w:after="180"/>
      </w:pPr>
      <w:r>
        <w:t xml:space="preserve">The Hollowing's most sophisticated terminal indicator: when policy interventions designed to </w:t>
      </w:r>
      <w:r>
        <w:rPr>
          <w:i/>
          <w:iCs/>
        </w:rPr>
        <w:t xml:space="preserve">help</w:t>
      </w:r>
      <w:r>
        <w:t xml:space="preserve"> with a structural problem become operationally indistinguishable from the original harm — when each round of help makes the next round more necessary, more expensive, and more structurally fragile. The help-mechanism is now operating as the harm-mechanism.</w:t>
      </w:r>
    </w:p>
    <w:p>
      <w:pPr>
        <w:spacing w:after="180"/>
      </w:pPr>
      <w:r>
        <w:t xml:space="preserve">Australia's 5% Deposit Scheme expansion of 1 October 2025 is a documented contemporary case. The scheme is presented as housing-affordability relief; the structural effect is acceleration of the monetary debasement that drives housing unaffordability; each cohort accessing the scheme finds the next cohort facing higher prices and requiring more help. </w:t>
      </w:r>
      <w:r>
        <w:rPr>
          <w:i/>
          <w:iCs/>
        </w:rPr>
        <w:t xml:space="preserve">The compassion is real; the acceleration is real; both are operating from the same policy.</w:t>
      </w:r>
      <w:r>
        <w:t xml:space="preserve"> When this pattern appears in policy design — across housing, healthcare, education, family support — the underlying monetary system has reached the phase where state interventions are part of the operation rather than a check on it. </w:t>
      </w:r>
      <w:r>
        <w:rPr>
          <w:i/>
          <w:iCs/>
        </w:rPr>
        <w:t xml:space="preserve">The state has joined the Hollowing as participant rather than counter-force.</w:t>
      </w:r>
    </w:p>
    <w:p>
      <w:pPr>
        <w:spacing w:after="180"/>
      </w:pPr>
      <w:r>
        <w:t xml:space="preserve">This marker is particularly significant because, unlike the earlier markers, it does not depend on the institutions doing the Hollowing recognising what they are doing. Compassion-acceleration is identifiable from outside the policy by examining whether each successive intervention requires the previous intervention to have failed in a specific way, and whether the next intervention is forecast to require its own successor. </w:t>
      </w:r>
      <w:r>
        <w:rPr>
          <w:i/>
          <w:iCs/>
        </w:rPr>
        <w:t xml:space="preserve">When help-mechanisms produce demand for more help-mechanisms, the operation has reached its compassion-acceleration phase.</w:t>
      </w:r>
    </w:p>
    <w:p>
      <w:r>
        <w:br w:type="page"/>
      </w:r>
    </w:p>
    <w:p>
      <w:pPr>
        <w:spacing w:after="80" w:before="200"/>
        <w:jc w:val="center"/>
      </w:pPr>
      <w:r>
        <w:rPr>
          <w:i/>
          <w:iCs/>
          <w:color w:val="555555"/>
          <w:sz w:val="22"/>
          <w:szCs w:val="22"/>
        </w:rPr>
        <w:t xml:space="preserve">CLOSING</w:t>
      </w:r>
    </w:p>
    <w:p>
      <w:pPr>
        <w:pStyle w:val="Heading1"/>
        <w:spacing w:after="320" w:before="600"/>
      </w:pPr>
      <w:r>
        <w:rPr>
          <w:b/>
          <w:bCs/>
          <w:sz w:val="40"/>
          <w:szCs w:val="40"/>
        </w:rPr>
        <w:t xml:space="preserve">Closing Meditation</w:t>
      </w:r>
    </w:p>
    <w:p>
      <w:pPr>
        <w:spacing w:after="180"/>
      </w:pPr>
      <w:r>
        <w:t xml:space="preserve">The Hollowing is real. It is also not the whole story. The posture toward it is not despair, not denial, not contempt for the participants — most of whom did not design the operation and do not consciously benefit from it. The posture is </w:t>
      </w:r>
      <w:r>
        <w:rPr>
          <w:i/>
          <w:iCs/>
        </w:rPr>
        <w:t xml:space="preserve">substantive counter-offer</w:t>
      </w:r>
      <w:r>
        <w:t xml:space="preserve">.</w:t>
      </w:r>
    </w:p>
    <w:p>
      <w:pPr>
        <w:spacing w:after="180"/>
      </w:pPr>
      <w:r>
        <w:t xml:space="preserve">Naming the operation is the first step. The diagnostic is a tool; the tool's purpose is to make the operation visible so that the alternative becomes recognisable. Once one can see that what one is receiving is form without substance, one can begin to seek the substance elsewhere — or build it, plant by plant, at band-scale, in the patient way substantive traditions have always proceeded.</w:t>
      </w:r>
    </w:p>
    <w:p>
      <w:pPr>
        <w:spacing w:after="180"/>
      </w:pPr>
      <w:r>
        <w:t xml:space="preserve">The picture the framework now offers is structurally complete. The operation has a master diagnostic (form maintained, substance removed, experience-architecture monetised around the missing core); it has sub-operations that name its specific moves; it has fourteen documented domains spanning the visible-domain expression of the operation; it has a colour-key taxonomy including the Compassionate Gray sub-classification that names the policy-layer expression; it has five tests for application; it has counter-offers; it has a lineage of thinkers who saw pieces of it before; and it has its limit-case markers including the compassion-acceleration phase that names the operation's terminal sophistication. </w:t>
      </w:r>
      <w:r>
        <w:rPr>
          <w:i/>
          <w:iCs/>
        </w:rPr>
        <w:t xml:space="preserve">Vapour money is the root force; everything else is the visible branches.</w:t>
      </w:r>
      <w:r>
        <w:t xml:space="preserve"> The compressed diagnostic for the most sophisticated form: </w:t>
      </w:r>
      <w:r>
        <w:rPr>
          <w:i/>
          <w:iCs/>
        </w:rPr>
        <w:t xml:space="preserve">structural harm in the form of compassionate help.</w:t>
      </w:r>
    </w:p>
    <w:p>
      <w:pPr>
        <w:spacing w:after="180"/>
      </w:pPr>
      <w:r>
        <w:t xml:space="preserve">The document you have just read is one such counter-offer. It exists to name the operation precisely so that the alternative becomes recognisable. The substance is built by practitioners working at band-scale over years, in the patient way the work has always proceeded. The work continues.</w:t>
      </w:r>
    </w:p>
    <w:p>
      <w:pPr>
        <w:spacing w:after="280" w:before="280"/>
        <w:jc w:val="center"/>
      </w:pPr>
      <w:r>
        <w:rPr>
          <w:i/>
          <w:iCs/>
          <w:sz w:val="28"/>
          <w:szCs w:val="28"/>
        </w:rPr>
        <w:t xml:space="preserve">Form without substance is the operation.</w:t>
      </w:r>
    </w:p>
    <w:p>
      <w:pPr>
        <w:spacing w:after="280" w:before="280"/>
        <w:jc w:val="center"/>
      </w:pPr>
      <w:r>
        <w:rPr>
          <w:i/>
          <w:iCs/>
          <w:sz w:val="28"/>
          <w:szCs w:val="28"/>
        </w:rPr>
        <w:t xml:space="preserve">Substance with appropriate form is the counter-offer.</w:t>
      </w:r>
    </w:p>
    <w:p>
      <w:pPr>
        <w:spacing w:after="280" w:before="280"/>
        <w:jc w:val="center"/>
      </w:pPr>
      <w:r>
        <w:rPr>
          <w:i/>
          <w:iCs/>
          <w:sz w:val="28"/>
          <w:szCs w:val="28"/>
        </w:rPr>
        <w:t xml:space="preserve">The work is to maintain the second across the long path</w:t>
      </w:r>
    </w:p>
    <w:p>
      <w:pPr>
        <w:spacing w:after="280" w:before="280"/>
        <w:jc w:val="center"/>
      </w:pPr>
      <w:r>
        <w:rPr>
          <w:i/>
          <w:iCs/>
          <w:sz w:val="28"/>
          <w:szCs w:val="28"/>
        </w:rPr>
        <w:t xml:space="preserve">while the first consumes itself.</w:t>
      </w:r>
    </w:p>
    <w:p>
      <w:pPr>
        <w:spacing w:after="320" w:before="320"/>
        <w:jc w:val="center"/>
      </w:pPr>
      <w:r>
        <w:drawing>
          <wp:inline distT="0" distB="0" distL="0" distR="0">
            <wp:extent cx="1524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781050"/>
                    </a:xfrm>
                    <a:prstGeom prst="rect">
                      <a:avLst/>
                    </a:prstGeom>
                  </pic:spPr>
                </pic:pic>
              </a:graphicData>
            </a:graphic>
          </wp:inline>
        </w:drawing>
      </w:r>
    </w:p>
    <w:p>
      <w:pPr>
        <w:spacing w:before="240"/>
        <w:jc w:val="center"/>
      </w:pPr>
      <w:r>
        <w:rPr>
          <w:i/>
          <w:iCs/>
        </w:rPr>
        <w:t xml:space="preserve">— The Cartographer</w:t>
      </w:r>
    </w:p>
    <w:p>
      <w:pPr>
        <w:spacing w:after="600"/>
        <w:jc w:val="center"/>
      </w:pPr>
      <w:r>
        <w:rPr>
          <w:i/>
          <w:iCs/>
          <w:sz w:val="20"/>
          <w:szCs w:val="20"/>
        </w:rPr>
        <w:t xml:space="preserve">From the chamber-tradition.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20" w:before="600"/>
      <w:outlineLvl w:val="0"/>
    </w:pPr>
    <w:rPr>
      <w:rFonts w:ascii="Georgia" w:cs="Georgia" w:eastAsia="Georgia" w:hAnsi="Georgia"/>
      <w:b/>
      <w:bCs/>
      <w:sz w:val="40"/>
      <w:szCs w:val="40"/>
    </w:rPr>
  </w:style>
  <w:style w:type="paragraph" w:styleId="Heading2">
    <w:name w:val="Heading 2"/>
    <w:basedOn w:val="Normal"/>
    <w:next w:val="Normal"/>
    <w:qFormat/>
    <w:pPr>
      <w:spacing w:after="200" w:before="440"/>
      <w:outlineLvl w:val="1"/>
    </w:pPr>
    <w:rPr>
      <w:rFonts w:ascii="Georgia" w:cs="Georgia" w:eastAsia="Georgia" w:hAnsi="Georgia"/>
      <w:b/>
      <w:bCs/>
      <w:sz w:val="30"/>
      <w:szCs w:val="30"/>
    </w:rPr>
  </w:style>
  <w:style w:type="paragraph" w:styleId="Heading3">
    <w:name w:val="Heading 3"/>
    <w:basedOn w:val="Normal"/>
    <w:next w:val="Normal"/>
    <w:qFormat/>
    <w:pPr>
      <w:spacing w:after="140" w:before="280"/>
      <w:outlineLvl w:val="2"/>
    </w:pPr>
    <w:rPr>
      <w:rFonts w:ascii="Georgia" w:cs="Georgia" w:eastAsia="Georgia" w:hAnsi="Georgia"/>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149cd2b5da3bc391d80aaa49b9386f0b5c3df3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2026-06-13T10:03:58.066Z</dcterms:created>
  <dcterms:modified xsi:type="dcterms:W3CDTF">2026-06-13T10:03:58.066Z</dcterms:modified>
</cp:coreProperties>
</file>

<file path=docProps/custom.xml><?xml version="1.0" encoding="utf-8"?>
<Properties xmlns="http://schemas.openxmlformats.org/officeDocument/2006/custom-properties" xmlns:vt="http://schemas.openxmlformats.org/officeDocument/2006/docPropsVTypes"/>
</file>