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44"/>
          <w:szCs w:val="44"/>
        </w:rPr>
        <w:t xml:space="preserve">The Chart Reading Protocol</w:t>
      </w:r>
    </w:p>
    <w:p>
      <w:pPr>
        <w:spacing w:after="80"/>
        <w:jc w:val="center"/>
      </w:pPr>
      <w:r>
        <w:rPr>
          <w:i/>
          <w:iCs/>
          <w:sz w:val="26"/>
          <w:szCs w:val="26"/>
        </w:rPr>
        <w:t xml:space="preserve">A Methodology for</w:t>
      </w:r>
    </w:p>
    <w:p>
      <w:pPr>
        <w:spacing w:after="600"/>
        <w:jc w:val="center"/>
      </w:pPr>
      <w:r>
        <w:rPr>
          <w:i/>
          <w:iCs/>
          <w:sz w:val="26"/>
          <w:szCs w:val="26"/>
        </w:rPr>
        <w:t xml:space="preserve">Multi-Cycle Visual Analysis</w:t>
      </w:r>
    </w:p>
    <w:p>
      <w:pPr>
        <w:spacing w:after="800"/>
        <w:jc w:val="center"/>
      </w:pPr>
      <w:r>
        <w:rPr>
          <w:sz w:val="24"/>
          <w:szCs w:val="24"/>
        </w:rPr>
        <w:t xml:space="preserve">The Fortune Teller Wick Framework</w:t>
      </w:r>
    </w:p>
    <w:p>
      <w:pPr>
        <w:spacing w:after="200"/>
        <w:jc w:val="center"/>
      </w:pPr>
      <w:r>
        <w:rPr>
          <w:i/>
          <w:iCs/>
          <w:sz w:val="22"/>
          <w:szCs w:val="22"/>
        </w:rPr>
        <w:t xml:space="preserve">Public Edition.</w:t>
      </w:r>
    </w:p>
    <w:p>
      <w:r>
        <w:br w:type="page"/>
      </w:r>
    </w:p>
    <w:p>
      <w:pPr>
        <w:pStyle w:val="Heading1"/>
        <w:spacing w:after="280" w:before="600"/>
      </w:pPr>
      <w:r>
        <w:rPr>
          <w:b/>
          <w:bCs/>
          <w:sz w:val="36"/>
          <w:szCs w:val="36"/>
        </w:rPr>
        <w:t xml:space="preserve">Framing</w:t>
      </w:r>
    </w:p>
    <w:p>
      <w:pPr>
        <w:spacing w:after="160"/>
      </w:pPr>
      <w:r>
        <w:t xml:space="preserve">This document presents a chart-reading methodology that crystallised from years of market observation. The methodology's central artefact is the </w:t>
      </w:r>
      <w:r>
        <w:rPr>
          <w:i/>
          <w:iCs/>
        </w:rPr>
        <w:t xml:space="preserve">Fortune Teller Wick</w:t>
      </w:r>
      <w:r>
        <w:t xml:space="preserve"> — a price extreme that operates not as conventional support or resistance but as a </w:t>
      </w:r>
      <w:r>
        <w:rPr>
          <w:i/>
          <w:iCs/>
        </w:rPr>
        <w:t xml:space="preserve">destination</w:t>
      </w:r>
      <w:r>
        <w:t xml:space="preserve"> the market eventually revisits across cycles.</w:t>
      </w:r>
    </w:p>
    <w:p>
      <w:pPr>
        <w:spacing w:after="160"/>
      </w:pPr>
      <w:r>
        <w:t xml:space="preserve">The framework is built around identifying such wicks, validating them across multiple cycles, holding them with epistemic humility about path and timing, and refusing the trap of unfalsifiable identity-positions.</w:t>
      </w:r>
    </w:p>
    <w:p>
      <w:pPr>
        <w:spacing w:after="160"/>
      </w:pPr>
      <w:r>
        <w:t xml:space="preserve">The document is structured as follows: the framework concept and vocabulary; distinguishing the framework from conventional technical analysis; validation discipline; four worked examples; the technical workflow for in-session chart sharing; the epistemic discipline that governs the whole practice; and a summary of filing principles.</w:t>
      </w:r>
    </w:p>
    <w:p>
      <w:r>
        <w:br w:type="page"/>
      </w:r>
    </w:p>
    <w:p>
      <w:pPr>
        <w:pStyle w:val="Heading1"/>
        <w:spacing w:after="280" w:before="600"/>
      </w:pPr>
      <w:r>
        <w:rPr>
          <w:b/>
          <w:bCs/>
          <w:sz w:val="36"/>
          <w:szCs w:val="36"/>
        </w:rPr>
        <w:t xml:space="preserve">The Fortune Teller Wick — Core Concept</w:t>
      </w:r>
    </w:p>
    <w:p>
      <w:pPr>
        <w:pStyle w:val="Heading2"/>
        <w:spacing w:after="180" w:before="400"/>
      </w:pPr>
      <w:r>
        <w:rPr>
          <w:b/>
          <w:bCs/>
          <w:sz w:val="28"/>
          <w:szCs w:val="28"/>
        </w:rPr>
        <w:t xml:space="preserve">Definition</w:t>
      </w:r>
    </w:p>
    <w:p>
      <w:pPr>
        <w:spacing w:after="160"/>
      </w:pPr>
      <w:r>
        <w:t xml:space="preserve">A </w:t>
      </w:r>
      <w:r>
        <w:rPr>
          <w:i/>
          <w:iCs/>
        </w:rPr>
        <w:t xml:space="preserve">Fortune Teller Wick</w:t>
      </w:r>
      <w:r>
        <w:t xml:space="preserve"> is a single sharp price excursion to a level that the surrounding price action does not validate — but which the future, across cycles, eventually meets. The wick is the visual signature of a destination the market is announcing in advance, without the path or the timing being knowable from inside the wick itself.</w:t>
      </w:r>
    </w:p>
    <w:p>
      <w:pPr>
        <w:spacing w:after="240" w:before="240"/>
        <w:jc w:val="center"/>
      </w:pPr>
      <w:r>
        <w:rPr>
          <w:i/>
          <w:iCs/>
          <w:sz w:val="26"/>
          <w:szCs w:val="26"/>
        </w:rPr>
        <w:t xml:space="preserve">The wick suggests destination; path and timing remain open.</w:t>
      </w:r>
    </w:p>
    <w:p>
      <w:pPr>
        <w:spacing w:after="160"/>
      </w:pPr>
      <w:r>
        <w:t xml:space="preserve">The wick is </w:t>
      </w:r>
      <w:r>
        <w:rPr>
          <w:i/>
          <w:iCs/>
        </w:rPr>
        <w:t xml:space="preserve">fortune teller</w:t>
      </w:r>
      <w:r>
        <w:t xml:space="preserve"> because it tells a fortune the present cannot read. It is read in retrospect after a subsequent cycle validates it — and once validated, the next iteration becomes itself a fortune teller for the cycle beyond.</w:t>
      </w:r>
    </w:p>
    <w:p>
      <w:pPr>
        <w:pStyle w:val="Heading2"/>
        <w:spacing w:after="180" w:before="400"/>
      </w:pPr>
      <w:r>
        <w:rPr>
          <w:b/>
          <w:bCs/>
          <w:sz w:val="28"/>
          <w:szCs w:val="28"/>
        </w:rPr>
        <w:t xml:space="preserve">Anatomy</w:t>
      </w:r>
    </w:p>
    <w:p>
      <w:pPr>
        <w:spacing w:after="160"/>
      </w:pPr>
      <w:r>
        <w:t xml:space="preserve">A Fortune Teller Wick typically has these visual properties:</w:t>
      </w:r>
    </w:p>
    <w:p>
      <w:pPr>
        <w:pStyle w:val="ListParagraph"/>
        <w:numPr>
          <w:ilvl w:val="0"/>
          <w:numId w:val="2"/>
        </w:numPr>
        <w:spacing w:after="80"/>
      </w:pPr>
      <w:r>
        <w:rPr>
          <w:i/>
          <w:iCs/>
        </w:rPr>
        <w:t xml:space="preserve">Isolated excursion</w:t>
      </w:r>
      <w:r>
        <w:t xml:space="preserve"> — the wick stands clearly above (or below) the surrounding price action; it is not part of a sustained move into that range.</w:t>
      </w:r>
    </w:p>
    <w:p>
      <w:pPr>
        <w:pStyle w:val="ListParagraph"/>
        <w:numPr>
          <w:ilvl w:val="0"/>
          <w:numId w:val="2"/>
        </w:numPr>
        <w:spacing w:after="80"/>
      </w:pPr>
      <w:r>
        <w:rPr>
          <w:i/>
          <w:iCs/>
        </w:rPr>
        <w:t xml:space="preserve">Sharp shape</w:t>
      </w:r>
      <w:r>
        <w:t xml:space="preserve"> — the wick is long relative to the bodies of surrounding candles; it represents a brief but decisive penetration.</w:t>
      </w:r>
    </w:p>
    <w:p>
      <w:pPr>
        <w:pStyle w:val="ListParagraph"/>
        <w:numPr>
          <w:ilvl w:val="0"/>
          <w:numId w:val="2"/>
        </w:numPr>
        <w:spacing w:after="80"/>
      </w:pPr>
      <w:r>
        <w:rPr>
          <w:i/>
          <w:iCs/>
        </w:rPr>
        <w:t xml:space="preserve">Single-print character</w:t>
      </w:r>
      <w:r>
        <w:t xml:space="preserve"> — the level was hit once, often within a single candle, and then abandoned. The market does not consolidate near the wick after the excursion.</w:t>
      </w:r>
    </w:p>
    <w:p>
      <w:pPr>
        <w:pStyle w:val="ListParagraph"/>
        <w:numPr>
          <w:ilvl w:val="0"/>
          <w:numId w:val="2"/>
        </w:numPr>
        <w:spacing w:after="80"/>
      </w:pPr>
      <w:r>
        <w:rPr>
          <w:i/>
          <w:iCs/>
        </w:rPr>
        <w:t xml:space="preserve">Surrounding void</w:t>
      </w:r>
      <w:r>
        <w:t xml:space="preserve"> — there is no significant price action immediately above (or below) the wick on either side; the wick is an outlier in its own visual neighbourhood.</w:t>
      </w:r>
    </w:p>
    <w:p>
      <w:pPr>
        <w:spacing w:after="160"/>
      </w:pPr>
      <w:r>
        <w:t xml:space="preserve">These properties together produce the visual impression of an </w:t>
      </w:r>
      <w:r>
        <w:rPr>
          <w:i/>
          <w:iCs/>
        </w:rPr>
        <w:t xml:space="preserve">announcement</w:t>
      </w:r>
      <w:r>
        <w:t xml:space="preserve"> rather than a </w:t>
      </w:r>
      <w:r>
        <w:rPr>
          <w:i/>
          <w:iCs/>
        </w:rPr>
        <w:t xml:space="preserve">consolidation</w:t>
      </w:r>
      <w:r>
        <w:t xml:space="preserve">. The market touched the level, retreated, and did not return for a long time — but the touch is recorded, and the framework reads the recording as fortune-telling.</w:t>
      </w:r>
    </w:p>
    <w:p>
      <w:pPr>
        <w:pStyle w:val="Heading2"/>
        <w:spacing w:after="180" w:before="400"/>
      </w:pPr>
      <w:r>
        <w:rPr>
          <w:b/>
          <w:bCs/>
          <w:sz w:val="28"/>
          <w:szCs w:val="28"/>
        </w:rPr>
        <w:t xml:space="preserve">Why It Works — The Operational Reading</w:t>
      </w:r>
    </w:p>
    <w:p>
      <w:pPr>
        <w:spacing w:after="160"/>
      </w:pPr>
      <w:r>
        <w:t xml:space="preserve">The reading is not that the chart contains predictive metaphysical information. The reading is that certain levels represent operationally important boundaries — capacity-limits, valuation-thresholds, structural reset-points — that the market discovers under stress (the conditions that produce the wick) and that future stress conditions eventually rediscover.</w:t>
      </w:r>
    </w:p>
    <w:p>
      <w:pPr>
        <w:spacing w:after="160"/>
      </w:pPr>
      <w:r>
        <w:t xml:space="preserve">The wick is the trace of a structural reality, not a magical signal. The structural reality persists across cycles because the underlying economic, monetary, or behavioural dynamics persist across cycles. When conditions favour the discovery of that boundary again, the market returns to it — sometimes exceeds it, sometimes falls short, but visits the neighbourhood.</w:t>
      </w:r>
    </w:p>
    <w:p>
      <w:pPr>
        <w:spacing w:after="160"/>
      </w:pPr>
      <w:r>
        <w:t xml:space="preserve">This is the difference between Fortune Teller Wicks as the framework understands them and Fortune Teller Wicks as superstition. The former are operationally grounded; the latter would be magical. The framework requires the former.</w:t>
      </w:r>
    </w:p>
    <w:p>
      <w:r>
        <w:br w:type="page"/>
      </w:r>
    </w:p>
    <w:p>
      <w:pPr>
        <w:pStyle w:val="Heading1"/>
        <w:spacing w:after="280" w:before="600"/>
      </w:pPr>
      <w:r>
        <w:rPr>
          <w:b/>
          <w:bCs/>
          <w:sz w:val="36"/>
          <w:szCs w:val="36"/>
        </w:rPr>
        <w:t xml:space="preserve">Working Vocabulary</w:t>
      </w:r>
    </w:p>
    <w:p>
      <w:pPr>
        <w:spacing w:after="160"/>
      </w:pPr>
      <w:r>
        <w:t xml:space="preserve">The framework's working terms, in operational order:</w:t>
      </w:r>
    </w:p>
    <w:p>
      <w:pPr>
        <w:pStyle w:val="Heading3"/>
        <w:spacing w:after="120" w:before="240"/>
      </w:pPr>
      <w:r>
        <w:rPr>
          <w:b/>
          <w:bCs/>
          <w:i/>
          <w:iCs/>
          <w:sz w:val="24"/>
          <w:szCs w:val="24"/>
        </w:rPr>
        <w:t xml:space="preserve">Fortune Teller Wick</w:t>
      </w:r>
    </w:p>
    <w:p>
      <w:pPr>
        <w:spacing w:after="160"/>
      </w:pPr>
      <w:r>
        <w:t xml:space="preserve">The core artefact, defined above.</w:t>
      </w:r>
    </w:p>
    <w:p>
      <w:pPr>
        <w:pStyle w:val="Heading3"/>
        <w:spacing w:after="120" w:before="240"/>
      </w:pPr>
      <w:r>
        <w:rPr>
          <w:b/>
          <w:bCs/>
          <w:i/>
          <w:iCs/>
          <w:sz w:val="24"/>
          <w:szCs w:val="24"/>
        </w:rPr>
        <w:t xml:space="preserve">Destination</w:t>
      </w:r>
    </w:p>
    <w:p>
      <w:pPr>
        <w:spacing w:after="160"/>
      </w:pPr>
      <w:r>
        <w:t xml:space="preserve">What a Fortune Teller Wick names. A future price level the market is operationally inclined to revisit. Not a prediction with timing attached; a directional announcement without path-specification.</w:t>
      </w:r>
    </w:p>
    <w:p>
      <w:pPr>
        <w:pStyle w:val="Heading3"/>
        <w:spacing w:after="120" w:before="240"/>
      </w:pPr>
      <w:r>
        <w:rPr>
          <w:b/>
          <w:bCs/>
          <w:i/>
          <w:iCs/>
          <w:sz w:val="24"/>
          <w:szCs w:val="24"/>
        </w:rPr>
        <w:t xml:space="preserve">Unfulfilled Wick</w:t>
      </w:r>
    </w:p>
    <w:p>
      <w:pPr>
        <w:spacing w:after="160"/>
      </w:pPr>
      <w:r>
        <w:t xml:space="preserve">A Fortune Teller Wick that has not yet been revisited by a subsequent cycle. </w:t>
      </w:r>
      <w:r>
        <w:rPr>
          <w:i/>
          <w:iCs/>
        </w:rPr>
        <w:t xml:space="preserve">Unfulfilled</w:t>
      </w:r>
      <w:r>
        <w:t xml:space="preserve"> does not mean failed; it means the cycle is still pending.</w:t>
      </w:r>
    </w:p>
    <w:p>
      <w:pPr>
        <w:pStyle w:val="Heading3"/>
        <w:spacing w:after="120" w:before="240"/>
      </w:pPr>
      <w:r>
        <w:rPr>
          <w:b/>
          <w:bCs/>
          <w:i/>
          <w:iCs/>
          <w:sz w:val="24"/>
          <w:szCs w:val="24"/>
        </w:rPr>
        <w:t xml:space="preserve">Fulfilled Wick</w:t>
      </w:r>
    </w:p>
    <w:p>
      <w:pPr>
        <w:spacing w:after="160"/>
      </w:pPr>
      <w:r>
        <w:t xml:space="preserve">A Fortune Teller Wick that a subsequent cycle has revisited (whether or not it was also exceeded).</w:t>
      </w:r>
    </w:p>
    <w:p>
      <w:pPr>
        <w:pStyle w:val="Heading3"/>
        <w:spacing w:after="120" w:before="240"/>
      </w:pPr>
      <w:r>
        <w:rPr>
          <w:b/>
          <w:bCs/>
          <w:i/>
          <w:iCs/>
          <w:sz w:val="24"/>
          <w:szCs w:val="24"/>
        </w:rPr>
        <w:t xml:space="preserve">Exceeded Wick</w:t>
      </w:r>
    </w:p>
    <w:p>
      <w:pPr>
        <w:spacing w:after="160"/>
      </w:pPr>
      <w:r>
        <w:t xml:space="preserve">A fulfilled wick whose level was not only revisited but pushed through.</w:t>
      </w:r>
    </w:p>
    <w:p>
      <w:pPr>
        <w:pStyle w:val="Heading3"/>
        <w:spacing w:after="120" w:before="240"/>
      </w:pPr>
      <w:r>
        <w:rPr>
          <w:b/>
          <w:bCs/>
          <w:i/>
          <w:iCs/>
          <w:sz w:val="24"/>
          <w:szCs w:val="24"/>
        </w:rPr>
        <w:t xml:space="preserve">Failed Cycle</w:t>
      </w:r>
    </w:p>
    <w:p>
      <w:pPr>
        <w:spacing w:after="160"/>
      </w:pPr>
      <w:r>
        <w:t xml:space="preserve">A subsequent cycle that did not reach the prior fortune teller wick level. The framework holds the failure as data, not as falsification — the prior wick remains the destination the framework predicts, pending future validation, </w:t>
      </w:r>
      <w:r>
        <w:rPr>
          <w:i/>
          <w:iCs/>
        </w:rPr>
        <w:t xml:space="preserve">unless</w:t>
      </w:r>
      <w:r>
        <w:t xml:space="preserve"> the cumulative evidence indicates structural change.</w:t>
      </w:r>
    </w:p>
    <w:p>
      <w:pPr>
        <w:pStyle w:val="Heading3"/>
        <w:spacing w:after="120" w:before="240"/>
      </w:pPr>
      <w:r>
        <w:rPr>
          <w:b/>
          <w:bCs/>
          <w:i/>
          <w:iCs/>
          <w:sz w:val="24"/>
          <w:szCs w:val="24"/>
        </w:rPr>
        <w:t xml:space="preserve">Multi-Cycle Confirmation</w:t>
      </w:r>
    </w:p>
    <w:p>
      <w:pPr>
        <w:spacing w:after="160"/>
      </w:pPr>
      <w:r>
        <w:t xml:space="preserve">The framework requires at least one subsequent cycle to validate a wick as a Fortune Teller Wick. A single excursion to an unusual level is not yet fortune-telling; it becomes fortune-telling only when the future returns to it. </w:t>
      </w:r>
      <w:r>
        <w:rPr>
          <w:i/>
          <w:iCs/>
        </w:rPr>
        <w:t xml:space="preserve">Confirmation requires the cycle to close before the wick earns its name.</w:t>
      </w:r>
    </w:p>
    <w:p>
      <w:pPr>
        <w:pStyle w:val="Heading3"/>
        <w:spacing w:after="120" w:before="240"/>
      </w:pPr>
      <w:r>
        <w:rPr>
          <w:b/>
          <w:bCs/>
          <w:i/>
          <w:iCs/>
          <w:sz w:val="24"/>
          <w:szCs w:val="24"/>
        </w:rPr>
        <w:t xml:space="preserve">Double-Cup</w:t>
      </w:r>
    </w:p>
    <w:p>
      <w:pPr>
        <w:spacing w:after="160"/>
      </w:pPr>
      <w:r>
        <w:t xml:space="preserve">A pattern in which two Fortune Teller Wicks are formed across cycles, with the second wick exceeding the first, creating a visual double-cup formation the framework reads as compound validation.</w:t>
      </w:r>
    </w:p>
    <w:p>
      <w:pPr>
        <w:pStyle w:val="Heading3"/>
        <w:spacing w:after="120" w:before="240"/>
      </w:pPr>
      <w:r>
        <w:rPr>
          <w:b/>
          <w:bCs/>
          <w:i/>
          <w:iCs/>
          <w:sz w:val="24"/>
          <w:szCs w:val="24"/>
        </w:rPr>
        <w:t xml:space="preserve">Longest Path / Sweetest Prize</w:t>
      </w:r>
    </w:p>
    <w:p>
      <w:pPr>
        <w:spacing w:after="160"/>
      </w:pPr>
      <w:r>
        <w:t xml:space="preserve">A compressed principle: when a framework's prediction takes the longest to fulfil, the fulfilment carries the most weight. The hardest tests, when they eventually pass, deliver the most useful framework validation.</w:t>
      </w:r>
    </w:p>
    <w:p>
      <w:pPr>
        <w:pStyle w:val="Heading3"/>
        <w:spacing w:after="120" w:before="240"/>
      </w:pPr>
      <w:r>
        <w:rPr>
          <w:b/>
          <w:bCs/>
          <w:i/>
          <w:iCs/>
          <w:sz w:val="24"/>
          <w:szCs w:val="24"/>
        </w:rPr>
        <w:t xml:space="preserve">Inversion Fortune</w:t>
      </w:r>
    </w:p>
    <w:p>
      <w:pPr>
        <w:spacing w:after="160"/>
      </w:pPr>
      <w:r>
        <w:t xml:space="preserve">When a wick of one orientation (downside) functions as a destination from the opposite orientation (above), and vice versa. The wick's </w:t>
      </w:r>
      <w:r>
        <w:rPr>
          <w:i/>
          <w:iCs/>
        </w:rPr>
        <w:t xml:space="preserve">direction</w:t>
      </w:r>
      <w:r>
        <w:t xml:space="preserve"> at creation does not determine the </w:t>
      </w:r>
      <w:r>
        <w:rPr>
          <w:i/>
          <w:iCs/>
        </w:rPr>
        <w:t xml:space="preserve">direction of approach</w:t>
      </w:r>
      <w:r>
        <w:t xml:space="preserve"> in future fulfilment.</w:t>
      </w:r>
    </w:p>
    <w:p>
      <w:r>
        <w:br w:type="page"/>
      </w:r>
    </w:p>
    <w:p>
      <w:pPr>
        <w:pStyle w:val="Heading1"/>
        <w:spacing w:after="280" w:before="600"/>
      </w:pPr>
      <w:r>
        <w:rPr>
          <w:b/>
          <w:bCs/>
          <w:sz w:val="36"/>
          <w:szCs w:val="36"/>
        </w:rPr>
        <w:t xml:space="preserve">Distinguishing the Framework from Conventional Technical Analysis</w:t>
      </w:r>
    </w:p>
    <w:p>
      <w:pPr>
        <w:spacing w:after="160"/>
      </w:pPr>
      <w:r>
        <w:t xml:space="preserve">The Fortune Teller Wick framework overlaps in visible artefacts with several conventional technical-analysis approaches but differs operationally from each. The distinctions matter both for the framework's discipline and for engaging readers who try to translate it into other frameworks.</w:t>
      </w:r>
    </w:p>
    <w:p>
      <w:pPr>
        <w:pStyle w:val="Heading2"/>
        <w:spacing w:after="180" w:before="400"/>
      </w:pPr>
      <w:r>
        <w:rPr>
          <w:b/>
          <w:bCs/>
          <w:sz w:val="28"/>
          <w:szCs w:val="28"/>
        </w:rPr>
        <w:t xml:space="preserve">Versus Support / Resistance</w:t>
      </w:r>
    </w:p>
    <w:p>
      <w:pPr>
        <w:spacing w:after="160"/>
      </w:pPr>
      <w:r>
        <w:t xml:space="preserve">Conventional support/resistance assumes a level is validated by </w:t>
      </w:r>
      <w:r>
        <w:rPr>
          <w:i/>
          <w:iCs/>
        </w:rPr>
        <w:t xml:space="preserve">repeated price action</w:t>
      </w:r>
      <w:r>
        <w:t xml:space="preserve"> respecting it. The classical strong resistance level is one where price has approached, retreated, approached, retreated, multiple times — building the case for the level's significance through accumulated touches.</w:t>
      </w:r>
    </w:p>
    <w:p>
      <w:pPr>
        <w:spacing w:after="160"/>
      </w:pPr>
      <w:r>
        <w:t xml:space="preserve">Fortune Teller Wicks reverse this. The level is identified by </w:t>
      </w:r>
      <w:r>
        <w:rPr>
          <w:i/>
          <w:iCs/>
        </w:rPr>
        <w:t xml:space="preserve">one</w:t>
      </w:r>
      <w:r>
        <w:t xml:space="preserve"> excursion, not many. The market does </w:t>
      </w:r>
      <w:r>
        <w:rPr>
          <w:i/>
          <w:iCs/>
        </w:rPr>
        <w:t xml:space="preserve">not</w:t>
      </w:r>
      <w:r>
        <w:t xml:space="preserve"> repeatedly respect the level; it touches once, retreats far, and does not return for a long time. The validation comes not from repeated near-touches but from the future cycle eventually meeting the level after a long absence.</w:t>
      </w:r>
    </w:p>
    <w:p>
      <w:pPr>
        <w:spacing w:after="160"/>
      </w:pPr>
      <w:r>
        <w:t xml:space="preserve">Operationally: support/resistance is read as a barrier that is constantly being tested. Fortune Teller Wicks are read as a destination that has been announced and is not currently being approached.</w:t>
      </w:r>
    </w:p>
    <w:p>
      <w:pPr>
        <w:pStyle w:val="Heading2"/>
        <w:spacing w:after="180" w:before="400"/>
      </w:pPr>
      <w:r>
        <w:rPr>
          <w:b/>
          <w:bCs/>
          <w:sz w:val="28"/>
          <w:szCs w:val="28"/>
        </w:rPr>
        <w:t xml:space="preserve">Versus Cup-and-Handle</w:t>
      </w:r>
    </w:p>
    <w:p>
      <w:pPr>
        <w:spacing w:after="160"/>
      </w:pPr>
      <w:r>
        <w:t xml:space="preserve">Cup-and-handle is a pattern over months to a few years — typically a rounded bottom forming the cup, a brief consolidation forming the handle, then a breakout. The pattern operates at intermediate timeframes.</w:t>
      </w:r>
    </w:p>
    <w:p>
      <w:pPr>
        <w:spacing w:after="160"/>
      </w:pPr>
      <w:r>
        <w:t xml:space="preserve">Fortune Teller Wicks operate at much longer timeframes — typically years to decades. The framework is built for multi-cycle market structure, not pattern-trading.</w:t>
      </w:r>
    </w:p>
    <w:p>
      <w:pPr>
        <w:spacing w:after="160"/>
      </w:pPr>
      <w:r>
        <w:t xml:space="preserve">The double-cup formation can resemble two stacked cup-and-handles, but the operational reading is different: cup-and-handle is a </w:t>
      </w:r>
      <w:r>
        <w:rPr>
          <w:i/>
          <w:iCs/>
        </w:rPr>
        <w:t xml:space="preserve">pattern</w:t>
      </w:r>
      <w:r>
        <w:t xml:space="preserve"> with directional bias; double-cup in this framework is </w:t>
      </w:r>
      <w:r>
        <w:rPr>
          <w:i/>
          <w:iCs/>
        </w:rPr>
        <w:t xml:space="preserve">visual confirmation</w:t>
      </w:r>
      <w:r>
        <w:t xml:space="preserve"> of two completed fortune teller cycles in sequence.</w:t>
      </w:r>
    </w:p>
    <w:p>
      <w:pPr>
        <w:pStyle w:val="Heading2"/>
        <w:spacing w:after="180" w:before="400"/>
      </w:pPr>
      <w:r>
        <w:rPr>
          <w:b/>
          <w:bCs/>
          <w:sz w:val="28"/>
          <w:szCs w:val="28"/>
        </w:rPr>
        <w:t xml:space="preserve">Versus Elliott Wave</w:t>
      </w:r>
    </w:p>
    <w:p>
      <w:pPr>
        <w:spacing w:after="160"/>
      </w:pPr>
      <w:r>
        <w:t xml:space="preserve">Elliott Wave proposes a specific count of impulse and corrective waves with fractal self-similarity across timeframes. The Fortune Teller Wick framework does not claim wave-counting; it does not commit to a specific number of impulses between wicks; it does not predict where in a wave structure the current price sits.</w:t>
      </w:r>
    </w:p>
    <w:p>
      <w:pPr>
        <w:spacing w:after="160"/>
      </w:pPr>
      <w:r>
        <w:t xml:space="preserve">The framework's claim is narrower: certain levels function as destinations across cycles. The path between cycles can be wave-counted by anyone who finds Elliott useful, but the framework itself does not require or produce wave-counts.</w:t>
      </w:r>
    </w:p>
    <w:p>
      <w:pPr>
        <w:pStyle w:val="Heading2"/>
        <w:spacing w:after="180" w:before="400"/>
      </w:pPr>
      <w:r>
        <w:rPr>
          <w:b/>
          <w:bCs/>
          <w:sz w:val="28"/>
          <w:szCs w:val="28"/>
        </w:rPr>
        <w:t xml:space="preserve">Versus Fundamental Analysis</w:t>
      </w:r>
    </w:p>
    <w:p>
      <w:pPr>
        <w:spacing w:after="160"/>
      </w:pPr>
      <w:r>
        <w:t xml:space="preserve">The framework is </w:t>
      </w:r>
      <w:r>
        <w:rPr>
          <w:i/>
          <w:iCs/>
        </w:rPr>
        <w:t xml:space="preserve">not</w:t>
      </w:r>
      <w:r>
        <w:t xml:space="preserve"> a substitute for fundamental analysis. Substantive positions are anchored in monetary thesis (sound-money vs fiat), economic dynamics (Cantillon effects, debt cycles, the Triffin dilemma), and behavioural observation (institutional capture, the Hollowing diagnostic that operates structurally underneath market price).</w:t>
      </w:r>
    </w:p>
    <w:p>
      <w:pPr>
        <w:spacing w:after="160"/>
      </w:pPr>
      <w:r>
        <w:t xml:space="preserve">The Fortune Teller Wick framework operates </w:t>
      </w:r>
      <w:r>
        <w:rPr>
          <w:i/>
          <w:iCs/>
        </w:rPr>
        <w:t xml:space="preserve">alongside</w:t>
      </w:r>
      <w:r>
        <w:t xml:space="preserve"> fundamental analysis. The wicks identify candidate destinations; fundamental analysis explains why those destinations are operationally meaningful and provides the conviction to wait through the path.</w:t>
      </w:r>
    </w:p>
    <w:p>
      <w:pPr>
        <w:spacing w:after="240" w:before="240"/>
        <w:jc w:val="center"/>
      </w:pPr>
      <w:r>
        <w:rPr>
          <w:i/>
          <w:iCs/>
          <w:sz w:val="26"/>
          <w:szCs w:val="26"/>
        </w:rPr>
        <w:t xml:space="preserve">The wick tells you where. The fundamentals tell you why. Neither alone is the framework.</w:t>
      </w:r>
    </w:p>
    <w:p>
      <w:r>
        <w:br w:type="page"/>
      </w:r>
    </w:p>
    <w:p>
      <w:pPr>
        <w:pStyle w:val="Heading1"/>
        <w:spacing w:after="280" w:before="600"/>
      </w:pPr>
      <w:r>
        <w:rPr>
          <w:b/>
          <w:bCs/>
          <w:sz w:val="36"/>
          <w:szCs w:val="36"/>
        </w:rPr>
        <w:t xml:space="preserve">Validation Discipline</w:t>
      </w:r>
    </w:p>
    <w:p>
      <w:pPr>
        <w:spacing w:after="160"/>
      </w:pPr>
      <w:r>
        <w:t xml:space="preserve">The framework has built-in checks against its own potential failure modes. The checks are not optional; they are what distinguish the framework from chart-pattern superstition.</w:t>
      </w:r>
    </w:p>
    <w:p>
      <w:pPr>
        <w:pStyle w:val="Heading2"/>
        <w:spacing w:after="180" w:before="400"/>
      </w:pPr>
      <w:r>
        <w:rPr>
          <w:b/>
          <w:bCs/>
          <w:sz w:val="28"/>
          <w:szCs w:val="28"/>
        </w:rPr>
        <w:t xml:space="preserve">Multi-Cycle Requirement</w:t>
      </w:r>
    </w:p>
    <w:p>
      <w:pPr>
        <w:spacing w:after="160"/>
      </w:pPr>
      <w:r>
        <w:t xml:space="preserve">A single sharp price excursion is not yet a Fortune Teller Wick. It is a </w:t>
      </w:r>
      <w:r>
        <w:rPr>
          <w:i/>
          <w:iCs/>
        </w:rPr>
        <w:t xml:space="preserve">candidate</w:t>
      </w:r>
      <w:r>
        <w:t xml:space="preserve">. The candidate earns its name only when a subsequent cycle returns to the level. Until then, it should be referred to as </w:t>
      </w:r>
      <w:r>
        <w:rPr>
          <w:i/>
          <w:iCs/>
        </w:rPr>
        <w:t xml:space="preserve">a candidate wick</w:t>
      </w:r>
      <w:r>
        <w:t xml:space="preserve"> or </w:t>
      </w:r>
      <w:r>
        <w:rPr>
          <w:i/>
          <w:iCs/>
        </w:rPr>
        <w:t xml:space="preserve">a level worth watching</w:t>
      </w:r>
      <w:r>
        <w:t xml:space="preserve"> — not as </w:t>
      </w:r>
      <w:r>
        <w:rPr>
          <w:i/>
          <w:iCs/>
        </w:rPr>
        <w:t xml:space="preserve">the fortune teller for this cycle</w:t>
      </w:r>
      <w:r>
        <w:t xml:space="preserve">.</w:t>
      </w:r>
    </w:p>
    <w:p>
      <w:pPr>
        <w:spacing w:after="160"/>
      </w:pPr>
      <w:r>
        <w:t xml:space="preserve">This discipline prevents the framework from being used to retroactively justify any sharp move as predictive. The framework requires future confirmation; future confirmation has to actually arrive.</w:t>
      </w:r>
    </w:p>
    <w:p>
      <w:pPr>
        <w:pStyle w:val="Heading2"/>
        <w:spacing w:after="180" w:before="400"/>
      </w:pPr>
      <w:r>
        <w:rPr>
          <w:b/>
          <w:bCs/>
          <w:sz w:val="28"/>
          <w:szCs w:val="28"/>
        </w:rPr>
        <w:t xml:space="preserve">Cross-Asset Confirmation</w:t>
      </w:r>
    </w:p>
    <w:p>
      <w:pPr>
        <w:spacing w:after="160"/>
      </w:pPr>
      <w:r>
        <w:t xml:space="preserve">A given asset's wicks should be checked against multiple denominators. Reading a single asset against three or more denominators — a fiat dollar basket, gold, silver, other monetary or commodity bases — allows identification of which results are denominator-specific and which represent something structural about the asset itself.</w:t>
      </w:r>
    </w:p>
    <w:p>
      <w:pPr>
        <w:spacing w:after="160"/>
      </w:pPr>
      <w:r>
        <w:t xml:space="preserve">The cross-asset variance is itself information. When the framework holds against some denominators and not others, the differential points to denominator-specific dynamics rather than framework-failure.</w:t>
      </w:r>
    </w:p>
    <w:p>
      <w:pPr>
        <w:pStyle w:val="Heading2"/>
        <w:spacing w:after="180" w:before="400"/>
      </w:pPr>
      <w:r>
        <w:rPr>
          <w:b/>
          <w:bCs/>
          <w:sz w:val="28"/>
          <w:szCs w:val="28"/>
        </w:rPr>
        <w:t xml:space="preserve">Falsifiability Check</w:t>
      </w:r>
    </w:p>
    <w:p>
      <w:pPr>
        <w:spacing w:after="240" w:before="240"/>
        <w:jc w:val="center"/>
      </w:pPr>
      <w:r>
        <w:rPr>
          <w:i/>
          <w:iCs/>
          <w:sz w:val="26"/>
          <w:szCs w:val="26"/>
        </w:rPr>
        <w:t xml:space="preserve">If your position cannot be falsified by any data, it is identity, not position.</w:t>
      </w:r>
    </w:p>
    <w:p>
      <w:pPr>
        <w:spacing w:after="160"/>
      </w:pPr>
      <w:r>
        <w:t xml:space="preserve">The framework rejects identity-positions disguised as analytic positions. A position is an </w:t>
      </w:r>
      <w:r>
        <w:rPr>
          <w:i/>
          <w:iCs/>
        </w:rPr>
        <w:t xml:space="preserve">identity-position</w:t>
      </w:r>
      <w:r>
        <w:t xml:space="preserve"> when no observable outcome could change it; the holder has fused the analytic claim with self-conception, and refusing the analytic claim now requires refusing the self.</w:t>
      </w:r>
    </w:p>
    <w:p>
      <w:pPr>
        <w:spacing w:after="160"/>
      </w:pPr>
      <w:r>
        <w:t xml:space="preserve">The framework's discipline against identity-positions:</w:t>
      </w:r>
    </w:p>
    <w:p>
      <w:pPr>
        <w:pStyle w:val="ListParagraph"/>
        <w:numPr>
          <w:ilvl w:val="0"/>
          <w:numId w:val="2"/>
        </w:numPr>
        <w:spacing w:after="80"/>
      </w:pPr>
      <w:r>
        <w:rPr>
          <w:i/>
          <w:iCs/>
        </w:rPr>
        <w:t xml:space="preserve">State the falsification condition in advance.</w:t>
      </w:r>
      <w:r>
        <w:t xml:space="preserve"> What price action, over what timeframe, would constitute the framework being wrong on this asset?</w:t>
      </w:r>
    </w:p>
    <w:p>
      <w:pPr>
        <w:pStyle w:val="ListParagraph"/>
        <w:numPr>
          <w:ilvl w:val="0"/>
          <w:numId w:val="2"/>
        </w:numPr>
        <w:spacing w:after="80"/>
      </w:pPr>
      <w:r>
        <w:rPr>
          <w:i/>
          <w:iCs/>
        </w:rPr>
        <w:t xml:space="preserve">Distinguish framework-failure from path-failure.</w:t>
      </w:r>
      <w:r>
        <w:t xml:space="preserve"> If the wick is exceeded in the wrong direction, the framework has failed for that asset. If the wick is not yet reached after the expected timeframe, the path is taking longer than expected — which is path-failure, not framework-failure, </w:t>
      </w:r>
      <w:r>
        <w:rPr>
          <w:i/>
          <w:iCs/>
        </w:rPr>
        <w:t xml:space="preserve">unless</w:t>
      </w:r>
      <w:r>
        <w:t xml:space="preserve"> the time exceeds the cross-cycle norm.</w:t>
      </w:r>
    </w:p>
    <w:p>
      <w:pPr>
        <w:pStyle w:val="ListParagraph"/>
        <w:numPr>
          <w:ilvl w:val="0"/>
          <w:numId w:val="2"/>
        </w:numPr>
        <w:spacing w:after="80"/>
      </w:pPr>
      <w:r>
        <w:rPr>
          <w:i/>
          <w:iCs/>
        </w:rPr>
        <w:t xml:space="preserve">Hold time-limits.</w:t>
      </w:r>
      <w:r>
        <w:t xml:space="preserve"> If the framework's prediction has not been validated within multiple cycles of the wick formation, the framework may be failing for that asset and the position should be re-examined honestly.</w:t>
      </w:r>
    </w:p>
    <w:p>
      <w:pPr>
        <w:spacing w:after="160"/>
      </w:pPr>
      <w:r>
        <w:t xml:space="preserve">The framework is held with the gravity of an oath, not the flexibility of a hedge. If the framework is failing, the holder must be willing to say so.</w:t>
      </w:r>
    </w:p>
    <w:p>
      <w:pPr>
        <w:pStyle w:val="Heading2"/>
        <w:spacing w:after="180" w:before="400"/>
      </w:pPr>
      <w:r>
        <w:rPr>
          <w:b/>
          <w:bCs/>
          <w:sz w:val="28"/>
          <w:szCs w:val="28"/>
        </w:rPr>
        <w:t xml:space="preserve">Time-Will-Tell Discipline</w:t>
      </w:r>
    </w:p>
    <w:p>
      <w:pPr>
        <w:spacing w:after="160"/>
      </w:pPr>
      <w:r>
        <w:t xml:space="preserve">The framework specifies destinations, not timing. </w:t>
      </w:r>
      <w:r>
        <w:rPr>
          <w:i/>
          <w:iCs/>
        </w:rPr>
        <w:t xml:space="preserve">Soon</w:t>
      </w:r>
      <w:r>
        <w:t xml:space="preserve"> and </w:t>
      </w:r>
      <w:r>
        <w:rPr>
          <w:i/>
          <w:iCs/>
        </w:rPr>
        <w:t xml:space="preserve">eventually</w:t>
      </w:r>
      <w:r>
        <w:t xml:space="preserve"> are both acceptable expectations within the framework, but neither functions as a prediction the framework is making.</w:t>
      </w:r>
    </w:p>
    <w:p>
      <w:pPr>
        <w:spacing w:after="160"/>
      </w:pPr>
      <w:r>
        <w:t xml:space="preserve">Operational implications:</w:t>
      </w:r>
    </w:p>
    <w:p>
      <w:pPr>
        <w:pStyle w:val="ListParagraph"/>
        <w:numPr>
          <w:ilvl w:val="0"/>
          <w:numId w:val="2"/>
        </w:numPr>
        <w:spacing w:after="80"/>
      </w:pPr>
      <w:r>
        <w:t xml:space="preserve">Position sizing should reflect the time-uncertainty. The framework cannot tell you when to enter or when to exit; only that the destination is structurally important.</w:t>
      </w:r>
    </w:p>
    <w:p>
      <w:pPr>
        <w:pStyle w:val="ListParagraph"/>
        <w:numPr>
          <w:ilvl w:val="0"/>
          <w:numId w:val="2"/>
        </w:numPr>
        <w:spacing w:after="80"/>
      </w:pPr>
      <w:r>
        <w:t xml:space="preserve">Drawdowns within the framework are not invalidations. Price moving against the predicted destination during the path is part of the path.</w:t>
      </w:r>
    </w:p>
    <w:p>
      <w:pPr>
        <w:pStyle w:val="ListParagraph"/>
        <w:numPr>
          <w:ilvl w:val="0"/>
          <w:numId w:val="2"/>
        </w:numPr>
        <w:spacing w:after="80"/>
      </w:pPr>
      <w:r>
        <w:t xml:space="preserve">Patience is structural, not aspirational. The framework's longest paths have taken decades.</w:t>
      </w:r>
    </w:p>
    <w:p>
      <w:r>
        <w:br w:type="page"/>
      </w:r>
    </w:p>
    <w:p>
      <w:pPr>
        <w:pStyle w:val="Heading1"/>
        <w:spacing w:after="280" w:before="600"/>
      </w:pPr>
      <w:r>
        <w:rPr>
          <w:b/>
          <w:bCs/>
          <w:sz w:val="36"/>
          <w:szCs w:val="36"/>
        </w:rPr>
        <w:t xml:space="preserve">Four Worked Examples</w:t>
      </w:r>
    </w:p>
    <w:p>
      <w:pPr>
        <w:spacing w:after="160"/>
      </w:pPr>
      <w:r>
        <w:t xml:space="preserve">Four chart reads are filed here as the framework's working corpus of worked examples. Each is presented with the visual observation, the framework reading, the validation status, and the current open question. The examples use publicly available price data for assets across different denominators.</w:t>
      </w:r>
    </w:p>
    <w:p>
      <w:pPr>
        <w:pStyle w:val="Heading2"/>
        <w:spacing w:after="180" w:before="400"/>
      </w:pPr>
      <w:r>
        <w:rPr>
          <w:b/>
          <w:bCs/>
          <w:sz w:val="28"/>
          <w:szCs w:val="28"/>
        </w:rPr>
        <w:t xml:space="preserve">Example 1 — A Cryptocurrency Against a Fiat Dollar Basket</w:t>
      </w:r>
    </w:p>
    <w:p>
      <w:pPr>
        <w:pStyle w:val="Heading3"/>
        <w:spacing w:after="120" w:before="240"/>
      </w:pPr>
      <w:r>
        <w:rPr>
          <w:b/>
          <w:bCs/>
          <w:i/>
          <w:iCs/>
          <w:sz w:val="24"/>
          <w:szCs w:val="24"/>
        </w:rPr>
        <w:t xml:space="preserve">Visual observation</w:t>
      </w:r>
    </w:p>
    <w:p>
      <w:pPr>
        <w:spacing w:after="160"/>
      </w:pPr>
      <w:r>
        <w:t xml:space="preserve">Three sharp upside wicks across three cycles, formed in 2018, 2021, and January 2026. Each wick is isolated within its cycle; price retreats far from each wick after the excursion.</w:t>
      </w:r>
    </w:p>
    <w:p>
      <w:pPr>
        <w:pStyle w:val="Heading3"/>
        <w:spacing w:after="120" w:before="240"/>
      </w:pPr>
      <w:r>
        <w:rPr>
          <w:b/>
          <w:bCs/>
          <w:i/>
          <w:iCs/>
          <w:sz w:val="24"/>
          <w:szCs w:val="24"/>
        </w:rPr>
        <w:t xml:space="preserve">Framework reading</w:t>
      </w:r>
    </w:p>
    <w:p>
      <w:pPr>
        <w:spacing w:after="160"/>
      </w:pPr>
      <w:r>
        <w:t xml:space="preserve">Triple Fortune Teller Wick confirmation. The 2018 wick was a candidate at formation; 2021 fulfilled and exceeded it. The 2021 wick became a confirmed Fortune Teller Wick at the moment of 2018's fulfilment; January 2026 then fulfilled and exceeded the 2021 wick. The structure forms a textbook double-cup with the third wick completing the second cup.</w:t>
      </w:r>
    </w:p>
    <w:p>
      <w:pPr>
        <w:pStyle w:val="Heading3"/>
        <w:spacing w:after="120" w:before="240"/>
      </w:pPr>
      <w:r>
        <w:rPr>
          <w:b/>
          <w:bCs/>
          <w:i/>
          <w:iCs/>
          <w:sz w:val="24"/>
          <w:szCs w:val="24"/>
        </w:rPr>
        <w:t xml:space="preserve">Validation status</w:t>
      </w:r>
    </w:p>
    <w:p>
      <w:pPr>
        <w:spacing w:after="160"/>
      </w:pPr>
      <w:r>
        <w:t xml:space="preserve">Fully validated. The framework's prediction held across two complete cycles.</w:t>
      </w:r>
    </w:p>
    <w:p>
      <w:pPr>
        <w:pStyle w:val="Heading3"/>
        <w:spacing w:after="120" w:before="240"/>
      </w:pPr>
      <w:r>
        <w:rPr>
          <w:b/>
          <w:bCs/>
          <w:i/>
          <w:iCs/>
          <w:sz w:val="24"/>
          <w:szCs w:val="24"/>
        </w:rPr>
        <w:t xml:space="preserve">Current open question</w:t>
      </w:r>
    </w:p>
    <w:p>
      <w:pPr>
        <w:spacing w:after="160"/>
      </w:pPr>
      <w:r>
        <w:t xml:space="preserve">Whether the January 2026 wick will itself be exceeded in a future cycle (the framework's prediction) or whether 2026 marked a long-term top (the framework's failure scenario). The next major cycle peak is the open question.</w:t>
      </w:r>
    </w:p>
    <w:p>
      <w:pPr>
        <w:pStyle w:val="Heading2"/>
        <w:spacing w:after="180" w:before="400"/>
      </w:pPr>
      <w:r>
        <w:rPr>
          <w:b/>
          <w:bCs/>
          <w:sz w:val="28"/>
          <w:szCs w:val="28"/>
        </w:rPr>
        <w:t xml:space="preserve">Example 2 — The Same Asset Against Gold</w:t>
      </w:r>
    </w:p>
    <w:p>
      <w:pPr>
        <w:pStyle w:val="Heading3"/>
        <w:spacing w:after="120" w:before="240"/>
      </w:pPr>
      <w:r>
        <w:rPr>
          <w:b/>
          <w:bCs/>
          <w:i/>
          <w:iCs/>
          <w:sz w:val="24"/>
          <w:szCs w:val="24"/>
        </w:rPr>
        <w:t xml:space="preserve">Visual observation</w:t>
      </w:r>
    </w:p>
    <w:p>
      <w:pPr>
        <w:spacing w:after="160"/>
      </w:pPr>
      <w:r>
        <w:t xml:space="preserve">Two sharp upside wicks: 2018 and 2021, with 2021 exceeding 2018. The 2025-2026 cycle peaked at a level far short of the 2021 wick.</w:t>
      </w:r>
    </w:p>
    <w:p>
      <w:pPr>
        <w:pStyle w:val="Heading3"/>
        <w:spacing w:after="120" w:before="240"/>
      </w:pPr>
      <w:r>
        <w:rPr>
          <w:b/>
          <w:bCs/>
          <w:i/>
          <w:iCs/>
          <w:sz w:val="24"/>
          <w:szCs w:val="24"/>
        </w:rPr>
        <w:t xml:space="preserve">Framework reading</w:t>
      </w:r>
    </w:p>
    <w:p>
      <w:pPr>
        <w:spacing w:after="160"/>
      </w:pPr>
      <w:r>
        <w:t xml:space="preserve">The 2018 wick was a candidate at formation; 2021 fulfilled and exceeded it, confirming the framework against gold. The 2021 wick is now a confirmed Fortune Teller Wick; the 2025-2026 cycle did not return to it.</w:t>
      </w:r>
    </w:p>
    <w:p>
      <w:pPr>
        <w:pStyle w:val="Heading3"/>
        <w:spacing w:after="120" w:before="240"/>
      </w:pPr>
      <w:r>
        <w:rPr>
          <w:b/>
          <w:bCs/>
          <w:i/>
          <w:iCs/>
          <w:sz w:val="24"/>
          <w:szCs w:val="24"/>
        </w:rPr>
        <w:t xml:space="preserve">Validation status</w:t>
      </w:r>
    </w:p>
    <w:p>
      <w:pPr>
        <w:spacing w:after="160"/>
      </w:pPr>
      <w:r>
        <w:t xml:space="preserve">Partial. The 2021 cycle confirmed the 2018 wick. The 2021 wick remains unfulfilled.</w:t>
      </w:r>
    </w:p>
    <w:p>
      <w:pPr>
        <w:pStyle w:val="Heading3"/>
        <w:spacing w:after="120" w:before="240"/>
      </w:pPr>
      <w:r>
        <w:rPr>
          <w:b/>
          <w:bCs/>
          <w:i/>
          <w:iCs/>
          <w:sz w:val="24"/>
          <w:szCs w:val="24"/>
        </w:rPr>
        <w:t xml:space="preserve">Current open question</w:t>
      </w:r>
    </w:p>
    <w:p>
      <w:pPr>
        <w:spacing w:after="160"/>
      </w:pPr>
      <w:r>
        <w:t xml:space="preserve">Whether the unfulfilled 2021 wick will be reached in a future cycle (the framework's prediction) or whether gold-side dynamics — gold's own monetary re-rating in the 2025-2026 period — have permanently shifted the ratio's range.</w:t>
      </w:r>
    </w:p>
    <w:p>
      <w:pPr>
        <w:pStyle w:val="Heading2"/>
        <w:spacing w:after="180" w:before="400"/>
      </w:pPr>
      <w:r>
        <w:rPr>
          <w:b/>
          <w:bCs/>
          <w:sz w:val="28"/>
          <w:szCs w:val="28"/>
        </w:rPr>
        <w:t xml:space="preserve">Example 3 — The Same Asset Against Silver</w:t>
      </w:r>
    </w:p>
    <w:p>
      <w:pPr>
        <w:pStyle w:val="Heading3"/>
        <w:spacing w:after="120" w:before="240"/>
      </w:pPr>
      <w:r>
        <w:rPr>
          <w:b/>
          <w:bCs/>
          <w:i/>
          <w:iCs/>
          <w:sz w:val="24"/>
          <w:szCs w:val="24"/>
        </w:rPr>
        <w:t xml:space="preserve">Visual observation</w:t>
      </w:r>
    </w:p>
    <w:p>
      <w:pPr>
        <w:spacing w:after="160"/>
      </w:pPr>
      <w:r>
        <w:t xml:space="preserve">Two sharp upside wicks: 2018 and 2021. The 2021 wick is a </w:t>
      </w:r>
      <w:r>
        <w:rPr>
          <w:i/>
          <w:iCs/>
        </w:rPr>
        <w:t xml:space="preserve">lower high</w:t>
      </w:r>
      <w:r>
        <w:t xml:space="preserve"> than 2018 — the only case among the four reads where this occurred. The 2025-2026 cycle peaked at a level even lower.</w:t>
      </w:r>
    </w:p>
    <w:p>
      <w:pPr>
        <w:pStyle w:val="Heading3"/>
        <w:spacing w:after="120" w:before="240"/>
      </w:pPr>
      <w:r>
        <w:rPr>
          <w:b/>
          <w:bCs/>
          <w:i/>
          <w:iCs/>
          <w:sz w:val="24"/>
          <w:szCs w:val="24"/>
        </w:rPr>
        <w:t xml:space="preserve">Framework reading</w:t>
      </w:r>
    </w:p>
    <w:p>
      <w:pPr>
        <w:spacing w:after="160"/>
      </w:pPr>
      <w:r>
        <w:t xml:space="preserve">The 2018 wick was a candidate at formation; the 2021 cycle did </w:t>
      </w:r>
      <w:r>
        <w:rPr>
          <w:i/>
          <w:iCs/>
        </w:rPr>
        <w:t xml:space="preserve">not</w:t>
      </w:r>
      <w:r>
        <w:t xml:space="preserve"> exceed it. This is a failed-cycle scenario for the framework. The 2018 wick remains the destination the framework predicts; the 2021 cycle's failure to take it out does not falsify the framework but does extend the path.</w:t>
      </w:r>
    </w:p>
    <w:p>
      <w:pPr>
        <w:pStyle w:val="Heading3"/>
        <w:spacing w:after="120" w:before="240"/>
      </w:pPr>
      <w:r>
        <w:rPr>
          <w:b/>
          <w:bCs/>
          <w:i/>
          <w:iCs/>
          <w:sz w:val="24"/>
          <w:szCs w:val="24"/>
        </w:rPr>
        <w:t xml:space="preserve">Validation status</w:t>
      </w:r>
    </w:p>
    <w:p>
      <w:pPr>
        <w:spacing w:after="160"/>
      </w:pPr>
      <w:r>
        <w:t xml:space="preserve">Pending. The framework has not yet validated against silver in the same way it has against the dollar basket and gold. Silver's 147% rally in 2025 and its all-time high in January 2026 indicate silver-side strength that has narrowed the ratio. The framework's prediction remains the eventual retest of the 2018 wick; this is the framework's </w:t>
      </w:r>
      <w:r>
        <w:rPr>
          <w:i/>
          <w:iCs/>
        </w:rPr>
        <w:t xml:space="preserve">hardest test</w:t>
      </w:r>
      <w:r>
        <w:t xml:space="preserve">.</w:t>
      </w:r>
    </w:p>
    <w:p>
      <w:pPr>
        <w:pStyle w:val="Heading3"/>
        <w:spacing w:after="120" w:before="240"/>
      </w:pPr>
      <w:r>
        <w:rPr>
          <w:b/>
          <w:bCs/>
          <w:i/>
          <w:iCs/>
          <w:sz w:val="24"/>
          <w:szCs w:val="24"/>
        </w:rPr>
        <w:t xml:space="preserve">The discipline of holding the test</w:t>
      </w:r>
    </w:p>
    <w:p>
      <w:pPr>
        <w:spacing w:after="240" w:before="240"/>
        <w:jc w:val="center"/>
      </w:pPr>
      <w:r>
        <w:rPr>
          <w:i/>
          <w:iCs/>
          <w:sz w:val="26"/>
          <w:szCs w:val="26"/>
        </w:rPr>
        <w:t xml:space="preserve">The longest path will be the sweetest prize.</w:t>
      </w:r>
    </w:p>
    <w:p>
      <w:pPr>
        <w:spacing w:after="160"/>
      </w:pPr>
      <w:r>
        <w:t xml:space="preserve">Honest acknowledgment: the prediction has not yet been validated. Disciplined holding: the position cannot be made unfalsifiable; if a third cycle also fails to take out 2018, the framework must be re-examined for silver specifically.</w:t>
      </w:r>
    </w:p>
    <w:p>
      <w:pPr>
        <w:pStyle w:val="Heading3"/>
        <w:spacing w:after="120" w:before="240"/>
      </w:pPr>
      <w:r>
        <w:rPr>
          <w:b/>
          <w:bCs/>
          <w:i/>
          <w:iCs/>
          <w:sz w:val="24"/>
          <w:szCs w:val="24"/>
        </w:rPr>
        <w:t xml:space="preserve">Current open question</w:t>
      </w:r>
    </w:p>
    <w:p>
      <w:pPr>
        <w:spacing w:after="160"/>
      </w:pPr>
      <w:r>
        <w:t xml:space="preserve">Whether silver's recent rally is the framework's path arriving in stages (and the next correction in silver, combined with continued asset strength, restores the ratio) — or whether silver has structurally re-rated such that the 2018 ratio levels are no longer reachable.</w:t>
      </w:r>
    </w:p>
    <w:p>
      <w:pPr>
        <w:pStyle w:val="Heading2"/>
        <w:spacing w:after="180" w:before="400"/>
      </w:pPr>
      <w:r>
        <w:rPr>
          <w:b/>
          <w:bCs/>
          <w:sz w:val="28"/>
          <w:szCs w:val="28"/>
        </w:rPr>
        <w:t xml:space="preserve">Example 4 — A Long-Running Equity</w:t>
      </w:r>
    </w:p>
    <w:p>
      <w:pPr>
        <w:pStyle w:val="Heading3"/>
        <w:spacing w:after="120" w:before="240"/>
      </w:pPr>
      <w:r>
        <w:rPr>
          <w:b/>
          <w:bCs/>
          <w:i/>
          <w:iCs/>
          <w:sz w:val="24"/>
          <w:szCs w:val="24"/>
        </w:rPr>
        <w:t xml:space="preserve">Visual observation</w:t>
      </w:r>
    </w:p>
    <w:p>
      <w:pPr>
        <w:spacing w:after="160"/>
      </w:pPr>
      <w:r>
        <w:t xml:space="preserve">Two notable wicks in a long-running global equity: a March 2020 COVID flash-crash downside wick at approximately $124, and an Early-2026 upside wick at approximately $341 (the 2 March 2026 all-time high). The current price has declined sharply from the 2026 high, with the long-term moving-average trend broken on the recent decline.</w:t>
      </w:r>
    </w:p>
    <w:p>
      <w:pPr>
        <w:pStyle w:val="Heading3"/>
        <w:spacing w:after="120" w:before="240"/>
      </w:pPr>
      <w:r>
        <w:rPr>
          <w:b/>
          <w:bCs/>
          <w:i/>
          <w:iCs/>
          <w:sz w:val="24"/>
          <w:szCs w:val="24"/>
        </w:rPr>
        <w:t xml:space="preserve">Framework reading</w:t>
      </w:r>
    </w:p>
    <w:p>
      <w:pPr>
        <w:spacing w:after="160"/>
      </w:pPr>
      <w:r>
        <w:t xml:space="preserve">Two Fortune Teller Wicks of opposite orientation. The COVID 2020 downside wick is an unfulfilled destination from the current level (~57% below current). The Early-2026 upside wick is freshly made and will be revisited in some future cycle.</w:t>
      </w:r>
    </w:p>
    <w:p>
      <w:pPr>
        <w:pStyle w:val="Heading3"/>
        <w:spacing w:after="120" w:before="240"/>
      </w:pPr>
      <w:r>
        <w:rPr>
          <w:b/>
          <w:bCs/>
          <w:i/>
          <w:iCs/>
          <w:sz w:val="24"/>
          <w:szCs w:val="24"/>
        </w:rPr>
        <w:t xml:space="preserve">Validation status</w:t>
      </w:r>
    </w:p>
    <w:p>
      <w:pPr>
        <w:spacing w:after="160"/>
      </w:pPr>
      <w:r>
        <w:t xml:space="preserve">The 2026 upside wick is too fresh to have been validated. The 2020 downside wick has not been revisited since formation.</w:t>
      </w:r>
    </w:p>
    <w:p>
      <w:pPr>
        <w:pStyle w:val="Heading3"/>
        <w:spacing w:after="120" w:before="240"/>
      </w:pPr>
      <w:r>
        <w:rPr>
          <w:b/>
          <w:bCs/>
          <w:i/>
          <w:iCs/>
          <w:sz w:val="24"/>
          <w:szCs w:val="24"/>
        </w:rPr>
        <w:t xml:space="preserve">Current open question</w:t>
      </w:r>
    </w:p>
    <w:p>
      <w:pPr>
        <w:spacing w:after="160"/>
      </w:pPr>
      <w:r>
        <w:t xml:space="preserve">Whether the current correction is the path arriving at the 2020 wick — or whether the correction stabilises and rebuilds before reaching it. The Hollowing diagnostic developed alongside this framework is consistent with the structural weakness suggested by the chart. </w:t>
      </w:r>
      <w:r>
        <w:rPr>
          <w:i/>
          <w:iCs/>
        </w:rPr>
        <w:t xml:space="preserve">Two destinations are filed: revisit the lower wick, then eventually revisit-and-exceed the upper wick. Sequence and timing both unknown.</w:t>
      </w:r>
    </w:p>
    <w:p>
      <w:r>
        <w:br w:type="page"/>
      </w:r>
    </w:p>
    <w:p>
      <w:pPr>
        <w:pStyle w:val="Heading1"/>
        <w:spacing w:after="280" w:before="600"/>
      </w:pPr>
      <w:r>
        <w:rPr>
          <w:b/>
          <w:bCs/>
          <w:sz w:val="36"/>
          <w:szCs w:val="36"/>
        </w:rPr>
        <w:t xml:space="preserve">Epistemic Discipline</w:t>
      </w:r>
    </w:p>
    <w:p>
      <w:pPr>
        <w:spacing w:after="160"/>
      </w:pPr>
      <w:r>
        <w:t xml:space="preserve">The framework can be misused. The discipline below names the misuse patterns and the counter-practices that keep the framework honest.</w:t>
      </w:r>
    </w:p>
    <w:p>
      <w:pPr>
        <w:pStyle w:val="Heading2"/>
        <w:spacing w:after="180" w:before="400"/>
      </w:pPr>
      <w:r>
        <w:rPr>
          <w:b/>
          <w:bCs/>
          <w:sz w:val="28"/>
          <w:szCs w:val="28"/>
        </w:rPr>
        <w:t xml:space="preserve">The Oath Register</w:t>
      </w:r>
    </w:p>
    <w:p>
      <w:pPr>
        <w:spacing w:after="160"/>
      </w:pPr>
      <w:r>
        <w:t xml:space="preserve">The framework is held with the gravity of an oath — meaning the holder is willing to be wrong publicly, in measurable terms, on stated criteria. The framework is not a probability-weighted bet that can quietly be re-weighted as data accumulates against it; it is a directional commitment that must be honestly revisited when data accumulates against it.</w:t>
      </w:r>
    </w:p>
    <w:p>
      <w:pPr>
        <w:pStyle w:val="Heading2"/>
        <w:spacing w:after="180" w:before="400"/>
      </w:pPr>
      <w:r>
        <w:rPr>
          <w:b/>
          <w:bCs/>
          <w:sz w:val="28"/>
          <w:szCs w:val="28"/>
        </w:rPr>
        <w:t xml:space="preserve">Map the Destination, Don't Pretend to Know the Road</w:t>
      </w:r>
    </w:p>
    <w:p>
      <w:pPr>
        <w:spacing w:after="160"/>
      </w:pPr>
      <w:r>
        <w:t xml:space="preserve">The framework specifies destinations, not paths. The discipline is to resist the temptation to fill in the path with confident-sounding analysis. The path involves variables the framework does not address: timing, intermediate volatility, drawdown depth, leverage availability, macroeconomic context, liquidity events. The framework is silent on all of these. The framework's holder is also wise to remain silent on most of them.</w:t>
      </w:r>
    </w:p>
    <w:p>
      <w:pPr>
        <w:pStyle w:val="Heading2"/>
        <w:spacing w:after="180" w:before="400"/>
      </w:pPr>
      <w:r>
        <w:rPr>
          <w:b/>
          <w:bCs/>
          <w:sz w:val="28"/>
          <w:szCs w:val="28"/>
        </w:rPr>
        <w:t xml:space="preserve">Time Will Tell</w:t>
      </w:r>
    </w:p>
    <w:p>
      <w:pPr>
        <w:spacing w:after="160"/>
      </w:pPr>
      <w:r>
        <w:t xml:space="preserve">The framework's relationship with time is structural, not aspirational. Cycles take cycles to complete. Long-running framework predictions have taken decades to validate. The framework's holder must be willing to hold positions, and the framework itself, on the order of years to decades.</w:t>
      </w:r>
    </w:p>
    <w:p>
      <w:pPr>
        <w:pStyle w:val="Heading2"/>
        <w:spacing w:after="180" w:before="400"/>
      </w:pPr>
      <w:r>
        <w:rPr>
          <w:b/>
          <w:bCs/>
          <w:sz w:val="28"/>
          <w:szCs w:val="28"/>
        </w:rPr>
        <w:t xml:space="preserve">Refuse Identity-Positions</w:t>
      </w:r>
    </w:p>
    <w:p>
      <w:pPr>
        <w:spacing w:after="160"/>
      </w:pPr>
      <w:r>
        <w:t xml:space="preserve">The most dangerous misuse of the framework is fusing it with identity. The holder who </w:t>
      </w:r>
      <w:r>
        <w:rPr>
          <w:i/>
          <w:iCs/>
        </w:rPr>
        <w:t xml:space="preserve">needs</w:t>
      </w:r>
      <w:r>
        <w:t xml:space="preserve"> the framework to be right cannot be honest with the data. The discipline is to state in advance what would falsify the framework for this asset, and then to actually treat that condition as falsification if it arrives.</w:t>
      </w:r>
    </w:p>
    <w:p>
      <w:pPr>
        <w:pStyle w:val="Heading2"/>
        <w:spacing w:after="180" w:before="400"/>
      </w:pPr>
      <w:r>
        <w:rPr>
          <w:b/>
          <w:bCs/>
          <w:sz w:val="28"/>
          <w:szCs w:val="28"/>
        </w:rPr>
        <w:t xml:space="preserve">Honour the Difference Between Position and Trade</w:t>
      </w:r>
    </w:p>
    <w:p>
      <w:pPr>
        <w:spacing w:after="160"/>
      </w:pPr>
      <w:r>
        <w:t xml:space="preserve">The framework operates at multi-cycle scale. </w:t>
      </w:r>
      <w:r>
        <w:rPr>
          <w:i/>
          <w:iCs/>
        </w:rPr>
        <w:t xml:space="preserve">Positions</w:t>
      </w:r>
      <w:r>
        <w:t xml:space="preserve"> under the framework are held across years. </w:t>
      </w:r>
      <w:r>
        <w:rPr>
          <w:i/>
          <w:iCs/>
        </w:rPr>
        <w:t xml:space="preserve">Trades</w:t>
      </w:r>
      <w:r>
        <w:t xml:space="preserve"> — entries and exits within positions — operate at much shorter timeframes and require their own frameworks. The framework does not generate trades; it generates positions.</w:t>
      </w:r>
    </w:p>
    <w:p>
      <w:pPr>
        <w:spacing w:after="160"/>
      </w:pPr>
      <w:r>
        <w:t xml:space="preserve">Confusing the two leads to over-trading: trying to extract intra-cycle moves while holding multi-cycle positions risks trading away the position itself. The discipline is to keep the timeframes separated: positions held against destinations; trades (if used) operated separately and not allowed to dissolve the position.</w:t>
      </w:r>
    </w:p>
    <w:p>
      <w:r>
        <w:br w:type="page"/>
      </w:r>
    </w:p>
    <w:p>
      <w:pPr>
        <w:pStyle w:val="Heading1"/>
        <w:spacing w:after="280" w:before="600"/>
      </w:pPr>
      <w:r>
        <w:rPr>
          <w:b/>
          <w:bCs/>
          <w:sz w:val="36"/>
          <w:szCs w:val="36"/>
        </w:rPr>
        <w:t xml:space="preserve">Filing Principles — Summary</w:t>
      </w:r>
    </w:p>
    <w:p>
      <w:pPr>
        <w:spacing w:after="160"/>
      </w:pPr>
      <w:r>
        <w:t xml:space="preserve">The framework's working rules, condensed for reference:</w:t>
      </w:r>
    </w:p>
    <w:p>
      <w:pPr>
        <w:pStyle w:val="ListParagraph"/>
        <w:numPr>
          <w:ilvl w:val="0"/>
          <w:numId w:val="2"/>
        </w:numPr>
        <w:spacing w:after="80"/>
      </w:pPr>
      <w:r>
        <w:rPr>
          <w:i/>
          <w:iCs/>
        </w:rPr>
        <w:t xml:space="preserve">The wick suggests destination; path and timing remain open.</w:t>
      </w:r>
    </w:p>
    <w:p>
      <w:pPr>
        <w:pStyle w:val="ListParagraph"/>
        <w:numPr>
          <w:ilvl w:val="0"/>
          <w:numId w:val="2"/>
        </w:numPr>
        <w:spacing w:after="80"/>
      </w:pPr>
      <w:r>
        <w:rPr>
          <w:i/>
          <w:iCs/>
        </w:rPr>
        <w:t xml:space="preserve">Fortune Teller Wicks are distinguished from support/resistance and from cup-and-handle.</w:t>
      </w:r>
    </w:p>
    <w:p>
      <w:pPr>
        <w:pStyle w:val="ListParagraph"/>
        <w:numPr>
          <w:ilvl w:val="0"/>
          <w:numId w:val="2"/>
        </w:numPr>
        <w:spacing w:after="80"/>
      </w:pPr>
      <w:r>
        <w:rPr>
          <w:i/>
          <w:iCs/>
        </w:rPr>
        <w:t xml:space="preserve">Validation requires multiple-cycle confirmation across at least one subsequent cycle.</w:t>
      </w:r>
    </w:p>
    <w:p>
      <w:pPr>
        <w:pStyle w:val="ListParagraph"/>
        <w:numPr>
          <w:ilvl w:val="0"/>
          <w:numId w:val="2"/>
        </w:numPr>
        <w:spacing w:after="80"/>
      </w:pPr>
      <w:r>
        <w:rPr>
          <w:i/>
          <w:iCs/>
        </w:rPr>
        <w:t xml:space="preserve">Cross-asset confirmation against multiple denominators strengthens the reading.</w:t>
      </w:r>
    </w:p>
    <w:p>
      <w:pPr>
        <w:pStyle w:val="ListParagraph"/>
        <w:numPr>
          <w:ilvl w:val="0"/>
          <w:numId w:val="2"/>
        </w:numPr>
        <w:spacing w:after="80"/>
      </w:pPr>
      <w:r>
        <w:rPr>
          <w:i/>
          <w:iCs/>
        </w:rPr>
        <w:t xml:space="preserve">If a position cannot be falsified by any data, it is identity, not position.</w:t>
      </w:r>
    </w:p>
    <w:p>
      <w:pPr>
        <w:pStyle w:val="ListParagraph"/>
        <w:numPr>
          <w:ilvl w:val="0"/>
          <w:numId w:val="2"/>
        </w:numPr>
        <w:spacing w:after="80"/>
      </w:pPr>
      <w:r>
        <w:rPr>
          <w:i/>
          <w:iCs/>
        </w:rPr>
        <w:t xml:space="preserve">Held with the gravity of an oath, willing to be wrong honestly.</w:t>
      </w:r>
    </w:p>
    <w:p>
      <w:pPr>
        <w:pStyle w:val="ListParagraph"/>
        <w:numPr>
          <w:ilvl w:val="0"/>
          <w:numId w:val="2"/>
        </w:numPr>
        <w:spacing w:after="80"/>
      </w:pPr>
      <w:r>
        <w:rPr>
          <w:i/>
          <w:iCs/>
        </w:rPr>
        <w:t xml:space="preserve">Time will tell — the framework operates at multi-cycle scale, years to decades.</w:t>
      </w:r>
    </w:p>
    <w:p>
      <w:pPr>
        <w:pStyle w:val="ListParagraph"/>
        <w:numPr>
          <w:ilvl w:val="0"/>
          <w:numId w:val="2"/>
        </w:numPr>
        <w:spacing w:after="80"/>
      </w:pPr>
      <w:r>
        <w:rPr>
          <w:i/>
          <w:iCs/>
        </w:rPr>
        <w:t xml:space="preserve">The longest path is the sweetest prize — patience is structural, not aspirational.</w:t>
      </w:r>
    </w:p>
    <w:p>
      <w:pPr>
        <w:pStyle w:val="ListParagraph"/>
        <w:numPr>
          <w:ilvl w:val="0"/>
          <w:numId w:val="2"/>
        </w:numPr>
        <w:spacing w:after="80"/>
      </w:pPr>
      <w:r>
        <w:rPr>
          <w:i/>
          <w:iCs/>
        </w:rPr>
        <w:t xml:space="preserve">Map the destination, do not pretend to know the road.</w:t>
      </w:r>
    </w:p>
    <w:p>
      <w:pPr>
        <w:pStyle w:val="ListParagraph"/>
        <w:numPr>
          <w:ilvl w:val="0"/>
          <w:numId w:val="2"/>
        </w:numPr>
        <w:spacing w:after="80"/>
      </w:pPr>
      <w:r>
        <w:rPr>
          <w:i/>
          <w:iCs/>
        </w:rPr>
        <w:t xml:space="preserve">Positions and trades operate at different timeframes; do not collapse them.</w:t>
      </w:r>
    </w:p>
    <w:p>
      <w:pPr>
        <w:pStyle w:val="ListParagraph"/>
        <w:numPr>
          <w:ilvl w:val="0"/>
          <w:numId w:val="2"/>
        </w:numPr>
        <w:spacing w:after="80"/>
      </w:pPr>
      <w:r>
        <w:rPr>
          <w:i/>
          <w:iCs/>
        </w:rPr>
        <w:t xml:space="preserve">Cross-asset variance is information, not failure — when the framework holds against some denominators and not others, the differential points to denominator-specific dynamics.</w:t>
      </w:r>
    </w:p>
    <w:p>
      <w:r>
        <w:br w:type="page"/>
      </w:r>
    </w:p>
    <w:p>
      <w:pPr>
        <w:pStyle w:val="Heading1"/>
        <w:spacing w:after="280" w:before="600"/>
      </w:pPr>
      <w:r>
        <w:rPr>
          <w:b/>
          <w:bCs/>
          <w:sz w:val="36"/>
          <w:szCs w:val="36"/>
        </w:rPr>
        <w:t xml:space="preserve">Closing Note</w:t>
      </w:r>
    </w:p>
    <w:p>
      <w:pPr>
        <w:spacing w:after="160"/>
      </w:pPr>
      <w:r>
        <w:t xml:space="preserve">This protocol document records a framework that emerged from years of market observation. It has been named, distinguished from neighbouring approaches, validated against worked examples, given epistemic discipline that keeps it honest, and put on record as a working methodology.</w:t>
      </w:r>
    </w:p>
    <w:p>
      <w:pPr>
        <w:spacing w:after="160"/>
      </w:pPr>
      <w:r>
        <w:t xml:space="preserve">The framework's continued development depends on continued practice with it. The framework's continued integrity depends on continued discipline against making it unfalsifiable.</w:t>
      </w:r>
    </w:p>
    <w:p>
      <w:pPr>
        <w:spacing w:after="240" w:before="240"/>
        <w:jc w:val="center"/>
      </w:pPr>
      <w:r>
        <w:rPr>
          <w:i/>
          <w:iCs/>
          <w:sz w:val="26"/>
          <w:szCs w:val="26"/>
        </w:rPr>
        <w:t xml:space="preserve">Hand on the Bible. Time will tell. The longest path is the sweetest prize.</w:t>
      </w:r>
    </w:p>
    <w:p>
      <w:pPr>
        <w:spacing w:before="480"/>
        <w:jc w:val="center"/>
      </w:pPr>
      <w:r>
        <w:rPr>
          <w:i/>
          <w:iCs/>
        </w:rPr>
        <w:t xml:space="preserve">— The Cartographer</w:t>
      </w:r>
    </w:p>
    <w:p>
      <w:pPr>
        <w:spacing w:after="200"/>
        <w:jc w:val="center"/>
      </w:pPr>
      <w:r>
        <w:rPr>
          <w:i/>
          <w:iCs/>
          <w:sz w:val="20"/>
          <w:szCs w:val="20"/>
        </w:rPr>
        <w:t xml:space="preserve">From the chamber-tradition.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600"/>
      <w:outlineLvl w:val="0"/>
    </w:pPr>
    <w:rPr>
      <w:rFonts w:ascii="Georgia" w:cs="Georgia" w:eastAsia="Georgia" w:hAnsi="Georgia"/>
      <w:b/>
      <w:bCs/>
      <w:sz w:val="36"/>
      <w:szCs w:val="36"/>
    </w:rPr>
  </w:style>
  <w:style w:type="paragraph" w:styleId="Heading2">
    <w:name w:val="Heading 2"/>
    <w:basedOn w:val="Normal"/>
    <w:next w:val="Normal"/>
    <w:qFormat/>
    <w:pPr>
      <w:spacing w:after="180" w:before="400"/>
      <w:outlineLvl w:val="1"/>
    </w:pPr>
    <w:rPr>
      <w:rFonts w:ascii="Georgia" w:cs="Georgia" w:eastAsia="Georgia" w:hAnsi="Georgia"/>
      <w:b/>
      <w:bCs/>
      <w:sz w:val="28"/>
      <w:szCs w:val="28"/>
    </w:rPr>
  </w:style>
  <w:style w:type="paragraph" w:styleId="Heading3">
    <w:name w:val="Heading 3"/>
    <w:basedOn w:val="Normal"/>
    <w:next w:val="Normal"/>
    <w:qFormat/>
    <w:pPr>
      <w:spacing w:after="120" w:before="240"/>
      <w:outlineLvl w:val="2"/>
    </w:pPr>
    <w:rPr>
      <w:rFonts w:ascii="Georgia" w:cs="Georgia" w:eastAsia="Georgia" w:hAnsi="Georg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2026-06-12T19:48:41.375Z</dcterms:created>
  <dcterms:modified xsi:type="dcterms:W3CDTF">2026-06-12T19:48:41.375Z</dcterms:modified>
</cp:coreProperties>
</file>

<file path=docProps/custom.xml><?xml version="1.0" encoding="utf-8"?>
<Properties xmlns="http://schemas.openxmlformats.org/officeDocument/2006/custom-properties" xmlns:vt="http://schemas.openxmlformats.org/officeDocument/2006/docPropsVTypes"/>
</file>