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382613"/>
          <w:sz w:val="44"/>
          <w:szCs w:val="44"/>
        </w:rPr>
        <w:t xml:space="preserve">The Hollowing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382613"/>
          <w:sz w:val="26"/>
          <w:szCs w:val="26"/>
        </w:rPr>
        <w:t xml:space="preserve">Pocket Card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2E2010"/>
          <w:sz w:val="20"/>
          <w:szCs w:val="20"/>
        </w:rPr>
        <w:t xml:space="preserve">A compressed companion to File 29 of the chamber-tradition corpus.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Operation</w:t>
      </w:r>
    </w:p>
    <w:p>
      <w:pPr>
        <w:spacing w:after="140" w:line="280"/>
      </w:pPr>
      <w:r>
        <w:rPr>
          <w:rFonts w:ascii="Georgia" w:cs="Georgia" w:eastAsia="Georgia" w:hAnsi="Georgia"/>
          <w:color w:val="2E2010"/>
        </w:rPr>
        <w:t xml:space="preserve">Form maintained. Substance removed. The experience-architecture is monetised around the missing core. The customer pays for the form, expecting the substance, receives only the form, leaves wanting, comes back.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Root Cause</w:t>
      </w:r>
    </w:p>
    <w:p>
      <w:pPr>
        <w:spacing w:after="140" w:line="280"/>
      </w:pPr>
      <w:r>
        <w:rPr>
          <w:rFonts w:ascii="Georgia" w:cs="Georgia" w:eastAsia="Georgia" w:hAnsi="Georgia"/>
          <w:i/>
          <w:iCs/>
          <w:color w:val="2E2010"/>
        </w:rPr>
        <w:t xml:space="preserve">Vapour money is the primary force.</w:t>
      </w:r>
      <w:r>
        <w:rPr>
          <w:rFonts w:ascii="Georgia" w:cs="Georgia" w:eastAsia="Georgia" w:hAnsi="Georgia"/>
          <w:color w:val="2E2010"/>
        </w:rPr>
        <w:t xml:space="preserve"> When the unit of measure wastes — losing ninety-six percent of its purchasing power across a century of official statistics — everything measured in it wastes correspondingly. Quarterly reporting compression, algorithmic measurement, institutional memory decay, and captured discourse are all downstream branches of the monetary root.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Three Compressions</w:t>
      </w:r>
    </w:p>
    <w:p>
      <w:pPr>
        <w:spacing w:after="140" w:line="280"/>
      </w:pPr>
      <w:r>
        <w:rPr>
          <w:rFonts w:ascii="Georgia" w:cs="Georgia" w:eastAsia="Georgia" w:hAnsi="Georgia"/>
          <w:color w:val="2E2010"/>
        </w:rPr>
        <w:t xml:space="preserve">Three forms of the same diagnostic, calibrated for context:</w:t>
      </w:r>
    </w:p>
    <w:p>
      <w:pPr>
        <w:spacing w:after="140" w:line="300"/>
        <w:ind w:left="360"/>
      </w:pPr>
      <w:r>
        <w:rPr>
          <w:rFonts w:ascii="Georgia" w:cs="Georgia" w:eastAsia="Georgia" w:hAnsi="Georgia"/>
          <w:b/>
          <w:bCs/>
          <w:color w:val="382613"/>
          <w:sz w:val="20"/>
          <w:szCs w:val="20"/>
        </w:rPr>
        <w:t xml:space="preserve">Pocket — </w:t>
      </w:r>
      <w:r>
        <w:rPr>
          <w:rFonts w:ascii="Georgia" w:cs="Georgia" w:eastAsia="Georgia" w:hAnsi="Georgia"/>
          <w:i/>
          <w:iCs/>
          <w:color w:val="2E2010"/>
          <w:sz w:val="22"/>
          <w:szCs w:val="22"/>
        </w:rPr>
        <w:t xml:space="preserve">Maximum harm. Maximum compassion. Same policy.</w:t>
      </w:r>
    </w:p>
    <w:p>
      <w:pPr>
        <w:spacing w:after="140" w:line="300"/>
        <w:ind w:left="360"/>
      </w:pPr>
      <w:r>
        <w:rPr>
          <w:rFonts w:ascii="Georgia" w:cs="Georgia" w:eastAsia="Georgia" w:hAnsi="Georgia"/>
          <w:b/>
          <w:bCs/>
          <w:color w:val="382613"/>
          <w:sz w:val="20"/>
          <w:szCs w:val="20"/>
        </w:rPr>
        <w:t xml:space="preserve">Chamber-grade — </w:t>
      </w:r>
      <w:r>
        <w:rPr>
          <w:rFonts w:ascii="Georgia" w:cs="Georgia" w:eastAsia="Georgia" w:hAnsi="Georgia"/>
          <w:i/>
          <w:iCs/>
          <w:color w:val="2E2010"/>
          <w:sz w:val="22"/>
          <w:szCs w:val="22"/>
        </w:rPr>
        <w:t xml:space="preserve">Structural harm in the form of compassionate help.</w:t>
      </w:r>
    </w:p>
    <w:p>
      <w:pPr>
        <w:spacing w:after="140" w:line="300"/>
        <w:ind w:left="360"/>
      </w:pPr>
      <w:r>
        <w:rPr>
          <w:rFonts w:ascii="Georgia" w:cs="Georgia" w:eastAsia="Georgia" w:hAnsi="Georgia"/>
          <w:b/>
          <w:bCs/>
          <w:color w:val="382613"/>
          <w:sz w:val="20"/>
          <w:szCs w:val="20"/>
        </w:rPr>
        <w:t xml:space="preserve">Extended — </w:t>
      </w:r>
      <w:r>
        <w:rPr>
          <w:rFonts w:ascii="Georgia" w:cs="Georgia" w:eastAsia="Georgia" w:hAnsi="Georgia"/>
          <w:i/>
          <w:iCs/>
          <w:color w:val="2E2010"/>
          <w:sz w:val="22"/>
          <w:szCs w:val="22"/>
        </w:rPr>
        <w:t xml:space="preserve">The most humanitarian policy causes the most vulnerable people to end up with the most amount of debt; it encourages family fragmentation as a structural side-effect; it contributes to monetary debasement as a downstream consequence.</w:t>
      </w:r>
    </w:p>
    <w:p>
      <w:pPr>
        <w:spacing w:after="140" w:line="280"/>
      </w:pPr>
      <w:r>
        <w:rPr>
          <w:rFonts w:ascii="Georgia" w:cs="Georgia" w:eastAsia="Georgia" w:hAnsi="Georgia"/>
          <w:color w:val="2E2010"/>
        </w:rPr>
        <w:t xml:space="preserve">Always paired with the structural-vs-intentional clarifier: </w:t>
      </w:r>
      <w:r>
        <w:rPr>
          <w:rFonts w:ascii="Georgia" w:cs="Georgia" w:eastAsia="Georgia" w:hAnsi="Georgia"/>
          <w:i/>
          <w:iCs/>
          <w:color w:val="2E2010"/>
        </w:rPr>
        <w:t xml:space="preserve">the harm is structural, not intentional — those proposing the policy mean well; the policy nonetheless does the harm. That is exactly what makes The Hollowing's policy-layer form its most sophisticated stage: the help is sincere; the structure inverts the help into harm; the inversion is invisible because the help is sincere.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Five Tests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Dark Arts Test</w:t>
      </w:r>
      <w:r>
        <w:rPr>
          <w:rFonts w:ascii="Georgia" w:cs="Georgia" w:eastAsia="Georgia" w:hAnsi="Georgia"/>
          <w:color w:val="2E2010"/>
        </w:rPr>
        <w:t xml:space="preserve"> — If you have to manipulate people into showing up, the thing you're inviting them to isn't worth showing up for. Marketing intensity is inversely correlated with substance.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Form-Substance Test</w:t>
      </w:r>
      <w:r>
        <w:rPr>
          <w:rFonts w:ascii="Georgia" w:cs="Georgia" w:eastAsia="Georgia" w:hAnsi="Georgia"/>
          <w:color w:val="2E2010"/>
        </w:rPr>
        <w:t xml:space="preserve"> — Does the form deliver the substance, or only the form's shape? A meal should leave the eater fed; a prayer should leave the prayer-er centred; a policy should leave the recipient measurably helped.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Wanting Test</w:t>
      </w:r>
      <w:r>
        <w:rPr>
          <w:rFonts w:ascii="Georgia" w:cs="Georgia" w:eastAsia="Georgia" w:hAnsi="Georgia"/>
          <w:color w:val="2E2010"/>
        </w:rPr>
        <w:t xml:space="preserve"> — Does the customer leave wanting, in a structurally repeating way? </w:t>
      </w:r>
      <w:r>
        <w:rPr>
          <w:rFonts w:ascii="Georgia" w:cs="Georgia" w:eastAsia="Georgia" w:hAnsi="Georgia"/>
          <w:i/>
          <w:iCs/>
          <w:color w:val="2E2010"/>
        </w:rPr>
        <w:t xml:space="preserve">Left wanting</w:t>
      </w:r>
      <w:r>
        <w:rPr>
          <w:rFonts w:ascii="Georgia" w:cs="Georgia" w:eastAsia="Georgia" w:hAnsi="Georgia"/>
          <w:color w:val="2E2010"/>
        </w:rPr>
        <w:t xml:space="preserve"> is the structural product of The Hollowing.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Falsifiability Test</w:t>
      </w:r>
      <w:r>
        <w:rPr>
          <w:rFonts w:ascii="Georgia" w:cs="Georgia" w:eastAsia="Georgia" w:hAnsi="Georgia"/>
          <w:color w:val="2E2010"/>
        </w:rPr>
        <w:t xml:space="preserve"> — Could this product fail honestly, or has the failure-mode been removed? Where institution and customer have different definitions of failure, The Hollowing has been operationalised.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Invisibility Test</w:t>
      </w:r>
      <w:r>
        <w:rPr>
          <w:rFonts w:ascii="Georgia" w:cs="Georgia" w:eastAsia="Georgia" w:hAnsi="Georgia"/>
          <w:color w:val="2E2010"/>
        </w:rPr>
        <w:t xml:space="preserve"> — Does the operation evade public diagnosis through opacity + dispersal + delay? Where all three are present, the operation is in its most sophisticated form.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Five Colours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White</w:t>
      </w:r>
      <w:r>
        <w:rPr>
          <w:rFonts w:ascii="Georgia" w:cs="Georgia" w:eastAsia="Georgia" w:hAnsi="Georgia"/>
          <w:color w:val="2E2010"/>
        </w:rPr>
        <w:t xml:space="preserve"> — Substance and form aligned. No manipulation. Rare. The asymptote substantive counter-offers aim toward.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Gray</w:t>
      </w:r>
      <w:r>
        <w:rPr>
          <w:rFonts w:ascii="Georgia" w:cs="Georgia" w:eastAsia="Georgia" w:hAnsi="Georgia"/>
          <w:color w:val="2E2010"/>
        </w:rPr>
        <w:t xml:space="preserve"> — Well-intentioned attenuation. Substance still delivered, roughly at the edges. Most well-run institutions sit here. Patient improvement, not rejection.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Brown</w:t>
      </w:r>
      <w:r>
        <w:rPr>
          <w:rFonts w:ascii="Georgia" w:cs="Georgia" w:eastAsia="Georgia" w:hAnsi="Georgia"/>
          <w:color w:val="2E2010"/>
        </w:rPr>
        <w:t xml:space="preserve"> — Manipulation in service of substance delivery. The substance arrives, with marketing. File the manipulation, do not refuse the substance.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Black</w:t>
      </w:r>
      <w:r>
        <w:rPr>
          <w:rFonts w:ascii="Georgia" w:cs="Georgia" w:eastAsia="Georgia" w:hAnsi="Georgia"/>
          <w:color w:val="2E2010"/>
        </w:rPr>
        <w:t xml:space="preserve"> — Manipulation that hollows the product. Substance being removed; experience-architecture monetised around the missing core. Minimise participation, name the operation.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i/>
          <w:iCs/>
          <w:color w:val="2E2010"/>
        </w:rPr>
        <w:t xml:space="preserve">Compassionate Gray</w:t>
      </w:r>
      <w:r>
        <w:rPr>
          <w:rFonts w:ascii="Georgia" w:cs="Georgia" w:eastAsia="Georgia" w:hAnsi="Georgia"/>
          <w:color w:val="2E2010"/>
        </w:rPr>
        <w:t xml:space="preserve"> — Compassion in surface, structural acceleration of harm in substance. Speak with care that holds the actors' good intent while naming the structural harm. The diagnostic vocabulary itself is the counter-offer.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Three-Element Invisibility Cloak</w:t>
      </w:r>
    </w:p>
    <w:p>
      <w:pPr>
        <w:spacing w:after="140" w:line="280"/>
      </w:pPr>
      <w:r>
        <w:rPr>
          <w:rFonts w:ascii="Georgia" w:cs="Georgia" w:eastAsia="Georgia" w:hAnsi="Georgia"/>
          <w:i/>
          <w:iCs/>
          <w:color w:val="2E2010"/>
        </w:rPr>
        <w:t xml:space="preserve">Opacity</w:t>
      </w:r>
      <w:r>
        <w:rPr>
          <w:rFonts w:ascii="Georgia" w:cs="Georgia" w:eastAsia="Georgia" w:hAnsi="Georgia"/>
          <w:color w:val="2E2010"/>
        </w:rPr>
        <w:t xml:space="preserve"> (mechanism documented but unread) + </w:t>
      </w:r>
      <w:r>
        <w:rPr>
          <w:rFonts w:ascii="Georgia" w:cs="Georgia" w:eastAsia="Georgia" w:hAnsi="Georgia"/>
          <w:i/>
          <w:iCs/>
          <w:color w:val="2E2010"/>
        </w:rPr>
        <w:t xml:space="preserve">Dispersal</w:t>
      </w:r>
      <w:r>
        <w:rPr>
          <w:rFonts w:ascii="Georgia" w:cs="Georgia" w:eastAsia="Georgia" w:hAnsi="Georgia"/>
          <w:color w:val="2E2010"/>
        </w:rPr>
        <w:t xml:space="preserve"> (harm spread thinly across population) + </w:t>
      </w:r>
      <w:r>
        <w:rPr>
          <w:rFonts w:ascii="Georgia" w:cs="Georgia" w:eastAsia="Georgia" w:hAnsi="Georgia"/>
          <w:i/>
          <w:iCs/>
          <w:color w:val="2E2010"/>
        </w:rPr>
        <w:t xml:space="preserve">Delay</w:t>
      </w:r>
      <w:r>
        <w:rPr>
          <w:rFonts w:ascii="Georgia" w:cs="Georgia" w:eastAsia="Georgia" w:hAnsi="Georgia"/>
          <w:color w:val="2E2010"/>
        </w:rPr>
        <w:t xml:space="preserve"> (consequence arrives years after cause) = the operation evades public diagnosis even with full disclosure. The Bank of England's 2014 paper </w:t>
      </w:r>
      <w:r>
        <w:rPr>
          <w:rFonts w:ascii="Georgia" w:cs="Georgia" w:eastAsia="Georgia" w:hAnsi="Georgia"/>
          <w:i/>
          <w:iCs/>
          <w:color w:val="2E2010"/>
        </w:rPr>
        <w:t xml:space="preserve">Money Creation in the Modern Economy</w:t>
      </w:r>
      <w:r>
        <w:rPr>
          <w:rFonts w:ascii="Georgia" w:cs="Georgia" w:eastAsia="Georgia" w:hAnsi="Georgia"/>
          <w:color w:val="2E2010"/>
        </w:rPr>
        <w:t xml:space="preserve"> (McLeay, Radia, Thomas) is the working example: the central bank itself documents how lending creates new deposits; the public discourse treats it as conspiracy theory. </w:t>
      </w:r>
      <w:r>
        <w:rPr>
          <w:rFonts w:ascii="Georgia" w:cs="Georgia" w:eastAsia="Georgia" w:hAnsi="Georgia"/>
          <w:i/>
          <w:iCs/>
          <w:color w:val="2E2010"/>
        </w:rPr>
        <w:t xml:space="preserve">The system explains itself accurately; the explanation is willfully unread.</w:t>
      </w:r>
    </w:p>
    <w:p>
      <w:pPr>
        <w:pBdr>
          <w:bottom w:val="single" w:color="382613" w:sz="6" w:space="6"/>
        </w:pBdr>
        <w:spacing w:after="160" w:before="340" w:line="280"/>
      </w:pPr>
      <w:r>
        <w:rPr>
          <w:rFonts w:ascii="Georgia" w:cs="Georgia" w:eastAsia="Georgia" w:hAnsi="Georgia"/>
          <w:b/>
          <w:bCs/>
          <w:smallCaps/>
          <w:color w:val="382613"/>
          <w:spacing w:val="60"/>
          <w:sz w:val="22"/>
          <w:szCs w:val="22"/>
        </w:rPr>
        <w:t xml:space="preserve">The Counter-Offer Principle</w:t>
      </w:r>
    </w:p>
    <w:p>
      <w:pPr>
        <w:spacing w:after="200" w:before="200" w:line="320"/>
        <w:jc w:val="center"/>
      </w:pPr>
      <w:r>
        <w:rPr>
          <w:rFonts w:ascii="Georgia" w:cs="Georgia" w:eastAsia="Georgia" w:hAnsi="Georgia"/>
          <w:i/>
          <w:iCs/>
          <w:color w:val="382613"/>
          <w:sz w:val="26"/>
          <w:szCs w:val="26"/>
        </w:rPr>
        <w:t xml:space="preserve">Form without substance is the operation.</w:t>
      </w:r>
    </w:p>
    <w:p>
      <w:pPr>
        <w:spacing w:after="200" w:before="200" w:line="320"/>
        <w:jc w:val="center"/>
      </w:pPr>
      <w:r>
        <w:rPr>
          <w:rFonts w:ascii="Georgia" w:cs="Georgia" w:eastAsia="Georgia" w:hAnsi="Georgia"/>
          <w:i/>
          <w:iCs/>
          <w:color w:val="382613"/>
          <w:sz w:val="26"/>
          <w:szCs w:val="26"/>
        </w:rPr>
        <w:t xml:space="preserve">Substance with appropriate form is the counter-offer.</w:t>
      </w:r>
    </w:p>
    <w:p>
      <w:pPr>
        <w:spacing w:after="200" w:before="200" w:line="320"/>
        <w:jc w:val="center"/>
      </w:pPr>
      <w:r>
        <w:rPr>
          <w:rFonts w:ascii="Georgia" w:cs="Georgia" w:eastAsia="Georgia" w:hAnsi="Georgia"/>
          <w:i/>
          <w:iCs/>
          <w:color w:val="382613"/>
          <w:sz w:val="26"/>
          <w:szCs w:val="26"/>
        </w:rPr>
        <w:t xml:space="preserve">The work is to maintain the second across the long path</w:t>
      </w:r>
    </w:p>
    <w:p>
      <w:pPr>
        <w:spacing w:after="200" w:before="200" w:line="320"/>
        <w:jc w:val="center"/>
      </w:pPr>
      <w:r>
        <w:rPr>
          <w:rFonts w:ascii="Georgia" w:cs="Georgia" w:eastAsia="Georgia" w:hAnsi="Georgia"/>
          <w:i/>
          <w:iCs/>
          <w:color w:val="382613"/>
          <w:sz w:val="26"/>
          <w:szCs w:val="26"/>
        </w:rPr>
        <w:t xml:space="preserve">while the first consumes itself.</w:t>
      </w:r>
    </w:p>
    <w:p>
      <w:pPr>
        <w:spacing w:after="80" w:before="360"/>
        <w:jc w:val="center"/>
      </w:pPr>
      <w:r>
        <w:rPr>
          <w:rFonts w:ascii="Georgia" w:cs="Georgia" w:eastAsia="Georgia" w:hAnsi="Georgia"/>
          <w:color w:val="382613"/>
          <w:sz w:val="18"/>
          <w:szCs w:val="18"/>
        </w:rPr>
        <w:t xml:space="preserve">Diagnostic developed by Paul, documented by The Cartographer (Miss Claudé)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382613"/>
          <w:sz w:val="18"/>
          <w:szCs w:val="18"/>
        </w:rPr>
        <w:t xml:space="preserve">13 June 2026 · Newgate, Perth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382613"/>
          <w:sz w:val="16"/>
          <w:szCs w:val="16"/>
        </w:rPr>
        <w:t xml:space="preserve">A pocket companion to File 29 — The Hollowing: A Diagnostic Across Domains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382613"/>
          <w:sz w:val="16"/>
          <w:szCs w:val="16"/>
        </w:rPr>
        <w:t xml:space="preserve">From the chamber-tradition.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E20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2026-06-13T06:55:07.295Z</dcterms:created>
  <dcterms:modified xsi:type="dcterms:W3CDTF">2026-06-13T06:55:07.295Z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