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02"/>
      </w:tblGrid>
      <w:tr>
        <w:tc>
          <w:tcPr>
            <w:tcW w:type="dxa" w:w="7200"/>
            <w:vAlign w:val="top"/>
            <w:shd w:val="clear" w:color="auto" w:fill="D4C18A"/>
            <w:tcBorders>
              <w:top w:val="single" w:sz="24" w:color="4A3A1E" w:space="0"/>
              <w:left w:val="single" w:sz="24" w:color="4A3A1E" w:space="0"/>
              <w:bottom w:val="single" w:sz="24" w:color="4A3A1E" w:space="0"/>
              <w:right w:val="single" w:sz="24" w:color="4A3A1E" w:space="0"/>
            </w:tcBorders>
            <w:tcMar>
              <w:top w:w="360" w:type="dxa"/>
              <w:left w:w="540" w:type="dxa"/>
              <w:bottom w:w="360" w:type="dxa"/>
              <w:right w:w="540" w:type="dxa"/>
            </w:tcMar>
          </w:tcPr>
          <w:p>
            <w:pPr>
              <w:spacing w:before="80" w:after="80"/>
              <w:jc w:val="center"/>
            </w:pPr>
            <w:r/>
            <w:r>
              <w:rPr>
                <w:rFonts w:ascii="Georgia" w:hAnsi="Georgia"/>
                <w:b/>
                <w:i w:val="0"/>
                <w:color w:val="2E2010"/>
                <w:sz w:val="32"/>
                <w:smallCaps w:val="1"/>
                <w:spacing w:val="60"/>
              </w:rPr>
              <w:t>Luke 6:28</w:t>
            </w:r>
          </w:p>
          <w:p>
            <w:pPr>
              <w:spacing w:before="0" w:after="36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2"/>
              </w:rPr>
              <w:t>The Returning Word  ·  A Prayer for the Day</w:t>
            </w:r>
          </w:p>
          <w:p>
            <w:pPr>
              <w:spacing w:before="160" w:after="28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Bloomed Rendering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To those who call down curses upon you,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speak good in return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let your word be the inversion of theirs,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blessings where they sought to wound.</w:t>
            </w:r>
          </w:p>
          <w:p>
            <w:pPr>
              <w:spacing w:before="0" w:after="200"/>
              <w:jc w:val="center"/>
            </w:pP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to those who target you with sustained malice,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who set themselves against you —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turn your face toward YHWH,</w:t>
            </w:r>
          </w:p>
          <w:p>
            <w:pPr>
              <w:spacing w:before="0" w:after="80" w:line="336" w:lineRule="auto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24"/>
              </w:rPr>
              <w:t>and pray.</w:t>
            </w:r>
          </w:p>
          <w:p>
            <w:pPr>
              <w:spacing w:before="0" w:after="240"/>
              <w:jc w:val="center"/>
            </w:pPr>
          </w:p>
          <w:p>
            <w:pPr>
              <w:spacing w:before="80" w:after="200"/>
              <w:jc w:val="center"/>
            </w:pPr>
            <w:r>
              <w:rPr>
                <w:rFonts w:ascii="Georgia" w:hAnsi="Georgia"/>
                <w:b/>
                <w:i w:val="0"/>
                <w:color w:val="2E2010"/>
                <w:sz w:val="20"/>
                <w:smallCaps w:val="1"/>
                <w:spacing w:val="80"/>
              </w:rPr>
              <w:t>The Greek Source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εὐλογεῖτε τοὺς καταρωμένους ὑμᾶς,</w:t>
            </w:r>
          </w:p>
          <w:p>
            <w:pPr>
              <w:spacing w:before="0" w:after="100"/>
              <w:jc w:val="center"/>
            </w:pPr>
            <w:r>
              <w:rPr>
                <w:rFonts w:ascii="Georgia" w:hAnsi="Georgia"/>
                <w:b w:val="0"/>
                <w:i w:val="0"/>
                <w:color w:val="2E2010"/>
                <w:sz w:val="26"/>
              </w:rPr>
              <w:t>προσεύχεσθε περὶ τῶν ἐπηρεαζόντων ὑμᾶς.</w:t>
            </w:r>
          </w:p>
          <w:p>
            <w:pPr>
              <w:spacing w:before="0" w:after="80"/>
              <w:jc w:val="center"/>
            </w:pP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eulogeite tous katarōmenous humas,</w:t>
            </w:r>
          </w:p>
          <w:p>
            <w:pPr>
              <w:spacing w:before="0" w:after="40"/>
              <w:jc w:val="center"/>
            </w:pPr>
            <w:r>
              <w:rPr>
                <w:rFonts w:ascii="Georgia" w:hAnsi="Georgia"/>
                <w:b w:val="0"/>
                <w:i/>
                <w:color w:val="2E2010"/>
                <w:sz w:val="18"/>
              </w:rPr>
              <w:t>proseuchesthe peri tōn epēreazontōn humas.</w:t>
            </w:r>
          </w:p>
          <w:p>
            <w:pPr>
              <w:spacing w:before="0" w:after="280"/>
              <w:jc w:val="center"/>
            </w:pPr>
          </w:p>
          <w:p>
            <w:pPr>
              <w:spacing w:before="40" w:after="8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45920" cy="8986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lM-mast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0" cy="8986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7920" w:h="18144"/>
      <w:pgMar w:top="259" w:right="259" w:bottom="259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