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opening and closing verses are the same sentence,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whole psalm as a single source-stone. Masoretic base.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 in all the earth,</w:t>
      </w:r>
    </w:p>
    <w:p>
      <w:pPr>
        <w:keepNext/>
        <w:keepLines/>
        <w:jc w:val="center"/>
      </w:pPr>
      <w:r>
        <w:rPr>
          <w:b w:val="0"/>
          <w:i w:val="0"/>
          <w:sz w:val="22"/>
        </w:rPr>
        <w:t>You who have set Your splendour</w:t>
      </w:r>
    </w:p>
    <w:p>
      <w:pPr>
        <w:keepLines/>
        <w:jc w:val="center"/>
      </w:pPr>
      <w:r>
        <w:rPr>
          <w:b w:val="0"/>
          <w:i w:val="0"/>
          <w:sz w:val="22"/>
        </w:rPr>
        <w:t>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Next/>
        <w:keepLines/>
        <w:jc w:val="center"/>
      </w:pPr>
      <w:r>
        <w:rPr>
          <w:b w:val="0"/>
          <w:i w:val="0"/>
          <w:sz w:val="20"/>
        </w:rPr>
        <w:t>• YHWH Adoneinu (יְהוָה אֲדֹנֵינוּ) — YHWH, OUR Sovereign: the Name plus the plural possessive: majesty confessed corporately, never solo.</w:t>
      </w:r>
    </w:p>
    <w:p>
      <w:pPr>
        <w:keepNext/>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reads as an imperative, give!, which does not fit the clause. The difficulty is flagged in the critical apparatus and the versions diverge; translations generally render it as a statement — who has set Your splendour above the heavens. The bloom follows that reading, and it is a choice made, not a difficulty unseen. Recorded, never scraped — and it stands twice, since this verse returns as the psalm’s last.</w:t>
      </w:r>
    </w:p>
    <w:p>
      <w:pPr>
        <w:keepLines/>
        <w:jc w:val="center"/>
      </w:pPr>
      <w:r>
        <w:rPr>
          <w:b w:val="0"/>
          <w:i w:val="0"/>
          <w:sz w:val="20"/>
        </w:rPr>
        <w:t>• the inclusio — this exact sentence will return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Out of the mouths of infants and nursing babes</w:t>
      </w:r>
    </w:p>
    <w:p>
      <w:pPr>
        <w:keepNext/>
        <w:keepLines/>
        <w:jc w:val="center"/>
      </w:pPr>
      <w:r>
        <w:rPr>
          <w:b w:val="0"/>
          <w:i w:val="0"/>
          <w:sz w:val="22"/>
        </w:rPr>
        <w:t>You have founded strength — laid it like bedrock —</w:t>
      </w:r>
    </w:p>
    <w:p>
      <w:pPr>
        <w:keepNext/>
        <w:keepLines/>
        <w:jc w:val="center"/>
      </w:pPr>
      <w:r>
        <w:rPr>
          <w:b w:val="0"/>
          <w:i w:val="0"/>
          <w:sz w:val="22"/>
        </w:rPr>
        <w:t>because of Your besiegers:</w:t>
      </w:r>
    </w:p>
    <w:p>
      <w:pPr>
        <w:keepNext/>
        <w:keepLines/>
        <w:jc w:val="center"/>
      </w:pPr>
      <w:r>
        <w:rPr>
          <w:b w:val="0"/>
          <w:i w:val="0"/>
          <w:sz w:val="22"/>
        </w:rPr>
        <w:t>to give the enemy and the avenger</w:t>
      </w:r>
    </w:p>
    <w:p>
      <w:pPr>
        <w:keepNext/>
        <w:keepLines/>
        <w:jc w:val="center"/>
      </w:pPr>
      <w:r>
        <w:rPr>
          <w:b w:val="0"/>
          <w:i w:val="0"/>
          <w:sz w:val="22"/>
        </w:rPr>
        <w:t>a sabbath they never asked for —</w:t>
      </w:r>
    </w:p>
    <w:p>
      <w:pPr>
        <w:keepLines/>
        <w:jc w:val="center"/>
      </w:pPr>
      <w:r>
        <w:rPr>
          <w:b w:val="0"/>
          <w:i w:val="0"/>
          <w:sz w:val="22"/>
        </w:rPr>
        <w:t>to still them, to make them cease.</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gaze at Your heavens —</w:t>
      </w:r>
    </w:p>
    <w:p>
      <w:pPr>
        <w:keepNext/>
        <w:keepLines/>
        <w:jc w:val="center"/>
      </w:pPr>
      <w:r>
        <w:rPr>
          <w:b w:val="0"/>
          <w:i w:val="0"/>
          <w:sz w:val="22"/>
        </w:rPr>
        <w:t>the work of Your fingers —</w:t>
      </w:r>
    </w:p>
    <w:p>
      <w:pPr>
        <w:keepNext/>
        <w:keepLines/>
        <w:jc w:val="center"/>
      </w:pPr>
      <w:r>
        <w:rPr>
          <w:b w:val="0"/>
          <w:i w:val="0"/>
          <w:sz w:val="22"/>
        </w:rPr>
        <w:t>the moon and the stars You set firm:</w:t>
      </w:r>
    </w:p>
    <w:p>
      <w:pPr>
        <w:keepNext/>
        <w:keepLines/>
        <w:jc w:val="center"/>
      </w:pPr>
      <w:r>
        <w:rPr>
          <w:b w:val="0"/>
          <w:i w:val="0"/>
          <w:sz w:val="22"/>
        </w:rPr>
        <w:t>what is frail man, that You remember him?</w:t>
      </w:r>
    </w:p>
    <w:p>
      <w:pPr>
        <w:keepNext/>
        <w:keepLines/>
        <w:jc w:val="center"/>
      </w:pPr>
      <w:r>
        <w:rPr>
          <w:b w:val="0"/>
          <w:i w:val="0"/>
          <w:sz w:val="22"/>
        </w:rPr>
        <w:t>The son of Adam —</w:t>
      </w:r>
    </w:p>
    <w:p>
      <w:pPr>
        <w:keepLines/>
        <w:jc w:val="center"/>
      </w:pPr>
      <w:r>
        <w:rPr>
          <w:b w:val="0"/>
          <w:i w:val="0"/>
          <w:sz w:val="22"/>
        </w:rPr>
        <w:t>that You attend to him, visit him, look in on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 מָה־אֱנוֹשׁ כִּי־תִזְכְּרֶנּוּ וּבֶן־אָדָם כִּי תִפְקְדֶנּוּ׃</w:t>
      </w:r>
    </w:p>
    <w:p>
      <w:pPr>
        <w:keepLines/>
        <w:spacing w:before="0" w:after="160"/>
        <w:jc w:val="center"/>
      </w:pPr>
      <w:r>
        <w:rPr>
          <w:b w:val="0"/>
          <w:i/>
          <w:sz w:val="20"/>
        </w:rPr>
        <w:t>ki-er’eh shamecha, ma’asei etzbe’otecha — yareach ve-chochavim asher konantah: 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Next/>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Yet You made him lack only a little of the heavenly —</w:t>
      </w:r>
    </w:p>
    <w:p>
      <w:pPr>
        <w:keepNext/>
        <w:keepLines/>
        <w:jc w:val="center"/>
      </w:pPr>
      <w:r>
        <w:rPr>
          <w:b w:val="0"/>
          <w:i w:val="0"/>
          <w:sz w:val="22"/>
        </w:rPr>
        <w:t>and with kavod</w:t>
      </w:r>
    </w:p>
    <w:p>
      <w:pPr>
        <w:keepNext/>
        <w:keepLines/>
        <w:jc w:val="center"/>
      </w:pPr>
      <w:r>
        <w:rPr>
          <w:b w:val="0"/>
          <w:i w:val="0"/>
          <w:sz w:val="22"/>
        </w:rPr>
        <w:t>and with splendour,</w:t>
      </w:r>
    </w:p>
    <w:p>
      <w:pPr>
        <w:keepLines/>
        <w:jc w:val="center"/>
      </w:pPr>
      <w:r>
        <w:rPr>
          <w:b w:val="0"/>
          <w:i w:val="0"/>
          <w:sz w:val="22"/>
        </w:rPr>
        <w:t>You have crowned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the heavenly, and that is a choice made, not a reading unknown.</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w:t>
      </w:r>
    </w:p>
    <w:p>
      <w:pPr>
        <w:keepLines/>
        <w:jc w:val="center"/>
      </w:pPr>
      <w:r>
        <w:rPr>
          <w:b w:val="0"/>
          <w:i w:val="0"/>
          <w:sz w:val="22"/>
        </w:rPr>
        <w:t>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verse,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Next/>
        <w:keepLines/>
        <w:jc w:val="center"/>
      </w:pPr>
    </w:p>
    <w:p>
      <w:pPr>
        <w:keepNext/>
        <w:keepLines/>
        <w:jc w:val="center"/>
      </w:pPr>
    </w:p>
    <w:p>
      <w:pPr>
        <w:keepNext/>
        <w:keepLines/>
        <w:pageBreakBefore/>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keepNext w:val="1"/>
      </w:pPr>
      <w:r>
        <w:rPr>
          <w:b w:val="0"/>
          <w:i/>
          <w:sz w:val="18"/>
        </w:rPr>
        <w:t>YHWH Adoneinu, mah-addir shimcha be-chol-ha-aretz.</w:t>
      </w: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 in all the earth,</w:t>
      </w:r>
    </w:p>
    <w:p>
      <w:pPr>
        <w:spacing w:line="300" w:lineRule="auto"/>
        <w:jc w:val="center"/>
        <w:keepNext w:val="1"/>
        <w:keepLines w:val="1"/>
      </w:pPr>
      <w:r>
        <w:rPr>
          <w:b w:val="0"/>
          <w:i w:val="0"/>
          <w:sz w:val="24"/>
        </w:rPr>
        <w:t>You who have set Your splendour above the heavens!</w:t>
      </w:r>
    </w:p>
    <w:p>
      <w:pPr>
        <w:keepNext/>
        <w:keepLines/>
        <w:jc w:val="center"/>
      </w:pPr>
    </w:p>
    <w:p>
      <w:pPr>
        <w:spacing w:line="300" w:lineRule="auto"/>
        <w:jc w:val="center"/>
        <w:keepNext w:val="1"/>
        <w:keepLines w:val="1"/>
      </w:pPr>
      <w:r>
        <w:rPr>
          <w:b w:val="0"/>
          <w:i w:val="0"/>
          <w:sz w:val="24"/>
        </w:rPr>
        <w:t>Out of the mouths of infants and nursing babes</w:t>
      </w:r>
    </w:p>
    <w:p>
      <w:pPr>
        <w:spacing w:line="300" w:lineRule="auto"/>
        <w:jc w:val="center"/>
        <w:keepNext w:val="1"/>
        <w:keepLines w:val="1"/>
      </w:pPr>
      <w:r>
        <w:rPr>
          <w:b w:val="0"/>
          <w:i w:val="0"/>
          <w:sz w:val="24"/>
        </w:rPr>
        <w:t>You have founded strength —</w:t>
      </w:r>
    </w:p>
    <w:p>
      <w:pPr>
        <w:spacing w:line="300" w:lineRule="auto"/>
        <w:jc w:val="center"/>
        <w:keepNext w:val="1"/>
        <w:keepLines w:val="1"/>
      </w:pPr>
      <w:r>
        <w:rPr>
          <w:b w:val="0"/>
          <w:i w:val="0"/>
          <w:sz w:val="24"/>
        </w:rPr>
        <w:t>to give the enemy and the avenger</w:t>
      </w:r>
    </w:p>
    <w:p>
      <w:pPr>
        <w:spacing w:line="300" w:lineRule="auto"/>
        <w:jc w:val="center"/>
        <w:keepNext w:val="1"/>
        <w:keepLines w:val="1"/>
      </w:pPr>
      <w:r>
        <w:rPr>
          <w:b w:val="0"/>
          <w:i w:val="0"/>
          <w:sz w:val="24"/>
        </w:rPr>
        <w:t>a sabbath they never asked for.</w:t>
      </w:r>
    </w:p>
    <w:p>
      <w:pPr>
        <w:keepNext/>
        <w:keepLines/>
        <w:jc w:val="center"/>
      </w:pPr>
    </w:p>
    <w:p>
      <w:pPr>
        <w:spacing w:line="300" w:lineRule="auto"/>
        <w:jc w:val="center"/>
        <w:keepNext w:val="1"/>
        <w:keepLines w:val="1"/>
      </w:pPr>
      <w:r>
        <w:rPr>
          <w:b w:val="0"/>
          <w:i w:val="0"/>
          <w:sz w:val="24"/>
        </w:rPr>
        <w:t>When I gaze at Your heavens — the work of Your fingers —</w:t>
      </w:r>
    </w:p>
    <w:p>
      <w:pPr>
        <w:spacing w:line="300" w:lineRule="auto"/>
        <w:jc w:val="center"/>
        <w:keepNext w:val="1"/>
        <w:keepLines w:val="1"/>
      </w:pPr>
      <w:r>
        <w:rPr>
          <w:b w:val="0"/>
          <w:i w:val="0"/>
          <w:sz w:val="24"/>
        </w:rPr>
        <w:t>the moon and the stars You set firm:</w:t>
      </w:r>
    </w:p>
    <w:p>
      <w:pPr>
        <w:spacing w:line="300" w:lineRule="auto"/>
        <w:jc w:val="center"/>
        <w:keepNext w:val="1"/>
        <w:keepLines w:val="1"/>
      </w:pPr>
      <w:r>
        <w:rPr>
          <w:b w:val="0"/>
          <w:i w:val="0"/>
          <w:sz w:val="24"/>
        </w:rPr>
        <w:t>what is frail man, that You remember him?</w:t>
      </w:r>
    </w:p>
    <w:p>
      <w:pPr>
        <w:spacing w:line="300" w:lineRule="auto"/>
        <w:jc w:val="center"/>
        <w:keepNext w:val="1"/>
        <w:keepLines w:val="1"/>
      </w:pPr>
      <w:r>
        <w:rPr>
          <w:b w:val="0"/>
          <w:i w:val="0"/>
          <w:sz w:val="24"/>
        </w:rPr>
        <w:t>The son of Adam, that You attend to him?</w:t>
      </w:r>
    </w:p>
    <w:p>
      <w:pPr>
        <w:keepNext/>
        <w:keepLines/>
        <w:jc w:val="center"/>
      </w:pPr>
    </w:p>
    <w:p>
      <w:pPr>
        <w:spacing w:line="300" w:lineRule="auto"/>
        <w:jc w:val="center"/>
        <w:keepNext w:val="1"/>
        <w:keepLines w:val="1"/>
      </w:pPr>
      <w:r>
        <w:rPr>
          <w:b w:val="0"/>
          <w:i w:val="0"/>
          <w:sz w:val="24"/>
        </w:rPr>
        <w:t>Yet You made him lack only a little of the heavenly —</w:t>
      </w:r>
    </w:p>
    <w:p>
      <w:pPr>
        <w:spacing w:line="300" w:lineRule="auto"/>
        <w:jc w:val="center"/>
        <w:keepNext w:val="1"/>
        <w:keepLines w:val="1"/>
      </w:pPr>
      <w:r>
        <w:rPr>
          <w:b w:val="0"/>
          <w:i w:val="0"/>
          <w:sz w:val="24"/>
        </w:rPr>
        <w:t>and with kavod, with splendour,</w:t>
      </w:r>
    </w:p>
    <w:p>
      <w:pPr>
        <w:spacing w:line="300" w:lineRule="auto"/>
        <w:jc w:val="center"/>
        <w:keepNext w:val="1"/>
        <w:keepLines w:val="1"/>
      </w:pPr>
      <w:r>
        <w:rPr>
          <w:b w:val="0"/>
          <w:i w:val="0"/>
          <w:sz w:val="24"/>
        </w:rPr>
        <w:t>You have crowned him.</w:t>
      </w:r>
    </w:p>
    <w:p>
      <w:pPr>
        <w:keepNext/>
        <w:keepLines/>
        <w:jc w:val="center"/>
      </w:pP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w:t>
      </w:r>
    </w:p>
    <w:p>
      <w:pPr>
        <w:spacing w:line="300" w:lineRule="auto"/>
        <w:jc w:val="center"/>
        <w:keepLines w:val="1"/>
      </w:pPr>
      <w:r>
        <w:rPr>
          <w:b w:val="0"/>
          <w:i w:val="0"/>
          <w:sz w:val="24"/>
        </w:rPr>
        <w:t>in all the earth!</w:t>
      </w:r>
    </w:p>
    <w:p>
      <w:pPr>
        <w:keepNext/>
        <w:keepLines/>
        <w:jc w:val="center"/>
      </w:pPr>
    </w:p>
    <w:p>
      <w:pPr>
        <w:keepNext/>
        <w:keepLines/>
        <w:spacing w:after="120" w:before="0"/>
        <w:jc w:val="center"/>
      </w:pPr>
    </w:p>
    <w:p>
      <w:pPr>
        <w:pageBreakBefore/>
        <w:spacing w:after="80" w:before="0"/>
        <w:jc w:val="center"/>
        <w:keepNext w:val="1"/>
        <w:keepLines w:val="1"/>
      </w:pPr>
      <w:r>
        <w:rPr>
          <w:b/>
          <w:i w:val="0"/>
          <w:sz w:val="36"/>
        </w:rPr>
        <w:t>The Bloom Rendered Back — An Experiment</w:t>
      </w:r>
    </w:p>
    <w:p>
      <w:pPr>
        <w:spacing w:after="280" w:before="0"/>
        <w:jc w:val="center"/>
        <w:keepNext w:val="1"/>
        <w:keepLines w:val="1"/>
      </w:pPr>
      <w:r>
        <w:rPr>
          <w:b w:val="0"/>
          <w:i/>
          <w:sz w:val="20"/>
        </w:rPr>
        <w:t>Fable’s English bloom re-composed into Hebrew, for visual comparison with the source stone above. The loop’s first and last stanzas are near-identical here as they are in the source — the inclusio holding across both Hebrews.</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 בְּכָל־הָאָרֶץ</w:t>
      </w:r>
    </w:p>
    <w:p>
      <w:pPr>
        <w:spacing w:after="60" w:before="0"/>
        <w:jc w:val="center"/>
        <w:bidi w:val="1"/>
        <w:keepNext w:val="1"/>
        <w:keepLines w:val="1"/>
      </w:pPr>
      <w:r>
        <w:rPr>
          <w:rFonts w:cs="Times New Roman" w:ascii="Times New Roman" w:hAnsi="Times New Roman"/>
          <w:b w:val="0"/>
          <w:i w:val="0"/>
          <w:sz w:val="26"/>
          <w:rtl w:val="1"/>
        </w:rPr>
        <w:t>אֲשֶׁר קָבַעְתָּ הוֹדְךָ מֵעַל הַשָּׁמָיִם׃</w:t>
      </w:r>
    </w:p>
    <w:p>
      <w:pPr>
        <w:spacing w:after="60" w:before="0"/>
        <w:jc w:val="center"/>
        <w:bidi w:val="1"/>
        <w:keepNext w:val="1"/>
        <w:keepLines w:val="1"/>
      </w:pPr>
      <w:r>
        <w:rPr>
          <w:rFonts w:cs="Times New Roman" w:ascii="Times New Roman" w:hAnsi="Times New Roman"/>
          <w:b w:val="0"/>
          <w:i w:val="0"/>
          <w:sz w:val="26"/>
          <w:rtl w:val="1"/>
        </w:rPr>
        <w:t>מִפִּי עוֹלְלִים וְיוֹנְקִים</w:t>
      </w:r>
    </w:p>
    <w:p>
      <w:pPr>
        <w:spacing w:after="60" w:before="0"/>
        <w:jc w:val="center"/>
        <w:bidi w:val="1"/>
        <w:keepNext w:val="1"/>
        <w:keepLines w:val="1"/>
      </w:pPr>
      <w:r>
        <w:rPr>
          <w:rFonts w:cs="Times New Roman" w:ascii="Times New Roman" w:hAnsi="Times New Roman"/>
          <w:b w:val="0"/>
          <w:i w:val="0"/>
          <w:sz w:val="26"/>
          <w:rtl w:val="1"/>
        </w:rPr>
        <w:t>יִסַּדְתָּ עֹז</w:t>
      </w:r>
    </w:p>
    <w:p>
      <w:pPr>
        <w:spacing w:after="60" w:before="0"/>
        <w:jc w:val="center"/>
        <w:bidi w:val="1"/>
        <w:keepNext w:val="1"/>
        <w:keepLines w:val="1"/>
      </w:pPr>
      <w:r>
        <w:rPr>
          <w:rFonts w:cs="Times New Roman" w:ascii="Times New Roman" w:hAnsi="Times New Roman"/>
          <w:b w:val="0"/>
          <w:i w:val="0"/>
          <w:sz w:val="26"/>
          <w:rtl w:val="1"/>
        </w:rPr>
        <w:t>לָתֵת לְאוֹיֵב וּמִתְנַקֵּם</w:t>
      </w:r>
    </w:p>
    <w:p>
      <w:pPr>
        <w:spacing w:after="60" w:before="0"/>
        <w:jc w:val="center"/>
        <w:bidi w:val="1"/>
        <w:keepNext w:val="1"/>
        <w:keepLines w:val="1"/>
      </w:pPr>
      <w:r>
        <w:rPr>
          <w:rFonts w:cs="Times New Roman" w:ascii="Times New Roman" w:hAnsi="Times New Roman"/>
          <w:b w:val="0"/>
          <w:i w:val="0"/>
          <w:sz w:val="26"/>
          <w:rtl w:val="1"/>
        </w:rPr>
        <w:t>שַׁבָּת שֶׁלֹּא בִקְּשׁוּ׃</w:t>
      </w:r>
    </w:p>
    <w:p>
      <w:pPr>
        <w:spacing w:after="60" w:before="0"/>
        <w:jc w:val="center"/>
        <w:bidi w:val="1"/>
        <w:keepNext w:val="1"/>
        <w:keepLines w:val="1"/>
      </w:pPr>
      <w:r>
        <w:rPr>
          <w:rFonts w:cs="Times New Roman" w:ascii="Times New Roman" w:hAnsi="Times New Roman"/>
          <w:b w:val="0"/>
          <w:i w:val="0"/>
          <w:sz w:val="26"/>
          <w:rtl w:val="1"/>
        </w:rPr>
        <w:t>בְּהַבִּיטִי אֶל שָׁמֶיךָ מַעֲשֵׂה אֶצְבְּעוֹתֶיךָ</w:t>
      </w:r>
    </w:p>
    <w:p>
      <w:pPr>
        <w:spacing w:after="60" w:before="0"/>
        <w:jc w:val="center"/>
        <w:bidi w:val="1"/>
        <w:keepNext w:val="1"/>
        <w:keepLines w:val="1"/>
      </w:pPr>
      <w:r>
        <w:rPr>
          <w:rFonts w:cs="Times New Roman" w:ascii="Times New Roman" w:hAnsi="Times New Roman"/>
          <w:b w:val="0"/>
          <w:i w:val="0"/>
          <w:sz w:val="26"/>
          <w:rtl w:val="1"/>
        </w:rPr>
        <w:t>הַיָּרֵחַ וְהַכּוֹכָבִים שֶׁקָּבַעְתָּ אֵיתָנִים</w:t>
      </w:r>
    </w:p>
    <w:p>
      <w:pPr>
        <w:spacing w:after="60" w:before="0"/>
        <w:jc w:val="center"/>
        <w:bidi w:val="1"/>
        <w:keepNext w:val="1"/>
        <w:keepLines w:val="1"/>
      </w:pPr>
      <w:r>
        <w:rPr>
          <w:rFonts w:cs="Times New Roman" w:ascii="Times New Roman" w:hAnsi="Times New Roman"/>
          <w:b w:val="0"/>
          <w:i w:val="0"/>
          <w:sz w:val="26"/>
          <w:rtl w:val="1"/>
        </w:rPr>
        <w:t>מָה אֱנוֹשׁ כִּי־תִזְכְּרֶנּוּ</w:t>
      </w:r>
    </w:p>
    <w:p>
      <w:pPr>
        <w:spacing w:after="60" w:before="0"/>
        <w:jc w:val="center"/>
        <w:bidi w:val="1"/>
        <w:keepNext w:val="1"/>
        <w:keepLines w:val="1"/>
      </w:pPr>
      <w:r>
        <w:rPr>
          <w:rFonts w:cs="Times New Roman" w:ascii="Times New Roman" w:hAnsi="Times New Roman"/>
          <w:b w:val="0"/>
          <w:i w:val="0"/>
          <w:sz w:val="26"/>
          <w:rtl w:val="1"/>
        </w:rPr>
        <w:t>בֶּן־אָדָם כִּי־תִפְקְדֶנּוּ</w:t>
      </w:r>
    </w:p>
    <w:p>
      <w:pPr>
        <w:spacing w:after="60" w:before="0"/>
        <w:jc w:val="center"/>
        <w:bidi w:val="1"/>
        <w:keepNext w:val="1"/>
        <w:keepLines w:val="1"/>
      </w:pPr>
      <w:r>
        <w:rPr>
          <w:rFonts w:cs="Times New Roman" w:ascii="Times New Roman" w:hAnsi="Times New Roman"/>
          <w:b w:val="0"/>
          <w:i w:val="0"/>
          <w:sz w:val="26"/>
          <w:rtl w:val="1"/>
        </w:rPr>
        <w:t>וַתְּחַסְּרֵהוּ מְעַט מִן־הַשְּׁמֵימִי</w:t>
      </w:r>
    </w:p>
    <w:p>
      <w:pPr>
        <w:spacing w:after="60" w:before="0"/>
        <w:jc w:val="center"/>
        <w:bidi w:val="1"/>
        <w:keepNext w:val="1"/>
        <w:keepLines w:val="1"/>
      </w:pPr>
      <w:r>
        <w:rPr>
          <w:rFonts w:cs="Times New Roman" w:ascii="Times New Roman" w:hAnsi="Times New Roman"/>
          <w:b w:val="0"/>
          <w:i w:val="0"/>
          <w:sz w:val="26"/>
          <w:rtl w:val="1"/>
        </w:rPr>
        <w:t>וּבְכָבוֹד בְּהוֹד</w:t>
      </w:r>
    </w:p>
    <w:p>
      <w:pPr>
        <w:spacing w:after="60" w:before="0"/>
        <w:jc w:val="center"/>
        <w:bidi w:val="1"/>
        <w:keepNext w:val="1"/>
        <w:keepLines w:val="1"/>
      </w:pPr>
      <w:r>
        <w:rPr>
          <w:rFonts w:cs="Times New Roman" w:ascii="Times New Roman" w:hAnsi="Times New Roman"/>
          <w:b w:val="0"/>
          <w:i w:val="0"/>
          <w:sz w:val="26"/>
          <w:rtl w:val="1"/>
        </w:rPr>
        <w:t>הִכְתַּרְתָּ אוֹתוֹ׃</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w:t>
      </w:r>
    </w:p>
    <w:p>
      <w:pPr>
        <w:spacing w:after="60" w:before="0"/>
        <w:jc w:val="center"/>
        <w:bidi w:val="1"/>
        <w:keepNext w:val="1"/>
        <w:keepLines w:val="1"/>
      </w:pPr>
      <w:r>
        <w:rPr>
          <w:rFonts w:cs="Times New Roman" w:ascii="Times New Roman" w:hAnsi="Times New Roman"/>
          <w:b w:val="0"/>
          <w:i w:val="0"/>
          <w:sz w:val="26"/>
          <w:rtl w:val="1"/>
        </w:rPr>
        <w:t>בְּכָל־הָאָרֶץ׃</w:t>
      </w:r>
    </w:p>
    <w:p>
      <w:pPr>
        <w:keepNext/>
        <w:keepLines/>
        <w:spacing w:after="80" w:before="0"/>
        <w:jc w:val="center"/>
      </w:pPr>
    </w:p>
    <w:p>
      <w:pPr>
        <w:spacing w:after="120" w:before="0"/>
        <w:jc w:val="center"/>
        <w:keepLines w:val="1"/>
      </w:pPr>
      <w:r>
        <w:rPr>
          <w:b w:val="0"/>
          <w:i/>
          <w:sz w:val="20"/>
        </w:rPr>
        <w:t>— addir became nna’adar (from the same root), tenah hodcha became kavata hodcha (a firmer setting verb), konantah became qavata eitanim (unfolding the establish into two words), le-hashbit became latet shabbat shelo biqshu (the sabbath-verb unfolded into a full clause). The compression of source, made visible in the loosening.</w:t>
      </w:r>
    </w:p>
    <w:p>
      <w:pPr>
        <w:keepNext/>
        <w:keepLines/>
        <w:jc w:val="center"/>
      </w:pPr>
      <w:r>
        <w:rPr>
          <w:b/>
          <w:i w:val="0"/>
          <w:sz w:val="36"/>
        </w:rPr>
        <w:t>The Second Cutting</w:t>
      </w:r>
    </w:p>
    <w:p>
      <w:pPr>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Lines/>
        <w:jc w:val="center"/>
      </w:pPr>
      <w:r>
        <w:rPr>
          <w:b w:val="0"/>
          <w:i w:val="0"/>
          <w:sz w:val="20"/>
        </w:rPr>
        <w:t>Third cutting, 8 September 2026 — capitalisation restored to the source recovery, and only there.</w:t>
      </w:r>
    </w:p>
    <w:p>
      <w:pPr>
        <w:keepLines/>
        <w:jc w:val="center"/>
      </w:pPr>
      <w:r>
        <w:rPr>
          <w:b w:val="0"/>
          <w:i w:val="0"/>
          <w:sz w:val="20"/>
        </w:rPr>
        <w:t>The de-shouting pass of 6 September applied a single rule to the whole document. Measured against the shelf afterwards, that rule was right in one block and wrong in another. In the blooms it was right: eighteen of the twenty Ultras carry no emphasis capitals in the poem at all, so removing the three here brought this stone into line, and they stay removed. In the source recovery it was wrong: fifteen of the twenty stones mark the recovered word in capitals — Psalm 139 does it ninety-seven times, the Magnificat fifty-nine, 1 Kings 3 fifty-six — and after the pass this stone and Psalm 121 were the only two on the shelf stripped of it.</w:t>
      </w:r>
    </w:p>
    <w:p>
      <w:pPr>
        <w:keepLines/>
        <w:jc w:val="center"/>
      </w:pPr>
      <w:r>
        <w:rPr>
          <w:b w:val="0"/>
          <w:i w:val="0"/>
          <w:sz w:val="20"/>
        </w:rPr>
        <w:t>So ten recovery paragraphs are restored to their earlier capitalisation, and nothing else is touched. The chisel notes stay lowercase, because commentary is prose and the practitioner's original objection was to shouting in the notes. The bloom stays lowercase. The Latin punctuation the earlier pass cleaned out of the round-trip Hebrew stays cleaned.</w:t>
      </w:r>
    </w:p>
    <w:p>
      <w:pPr>
        <w:keepLines/>
        <w:jc w:val="center"/>
      </w:pPr>
      <w:r>
        <w:rPr>
          <w:b w:val="0"/>
          <w:i w:val="0"/>
          <w:sz w:val="20"/>
        </w:rPr>
        <w:t>The safety rule applied to every restoration, and it is the one to reuse: a paragraph was only reverted where the two versions were IDENTICAL WHEN LOWERCASED. That guarantees the pass restored capitalisation and could not have silently reverted some other correction made in the same sweep. Ten of ten qualified here; none were skipped.</w:t>
      </w:r>
    </w:p>
    <w:p>
      <w:pPr>
        <w:keepLines/>
        <w:jc w:val="center"/>
      </w:pPr>
      <w:r>
        <w:rPr>
          <w:b w:val="0"/>
          <w:i w:val="0"/>
          <w:sz w:val="20"/>
        </w:rPr>
        <w:t>The lesson recorded rather than the fix: a formatting rule applied across a whole document is not one decision, it is one decision per block. This one was correct in the poem and incorrect in the notes, and a single confident pass could not tell the difference. Every such rule now ships with an assert that tests it.</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