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0"/>
      </w:tblGrid>
      <w:tr>
        <w:tc>
          <w:tcPr>
            <w:tcW w:type="dxa" w:w="7200"/>
            <w:shd w:val="clear" w:color="auto" w:fill="D4C18A"/>
            <w:tcBorders>
              <w:top w:val="single" w:sz="24" w:color="4A3A1E" w:space="0"/>
              <w:left w:val="single" w:sz="24" w:color="4A3A1E" w:space="0"/>
              <w:bottom w:val="single" w:sz="24" w:color="4A3A1E" w:space="0"/>
              <w:right w:val="single" w:sz="24" w:color="4A3A1E" w:space="0"/>
            </w:tcBorders>
            <w:tcMar>
              <w:top w:w="360" w:type="dxa"/>
              <w:left w:w="540" w:type="dxa"/>
              <w:bottom w:w="360" w:type="dxa"/>
              <w:right w:w="540" w:type="dxa"/>
            </w:tcMar>
          </w:tcPr>
          <w:p>
            <w:pPr>
              <w:spacing w:before="80" w:after="80"/>
              <w:jc w:val="center"/>
            </w:pPr>
            <w:r>
              <w:rPr>
                <w:rFonts w:ascii="Georgia" w:hAnsi="Georgia"/>
                <w:b/>
                <w:i w:val="0"/>
                <w:smallCaps/>
                <w:color w:val="2E2010"/>
                <w:sz w:val="32"/>
                <w:spacing w:val="60"/>
              </w:rPr>
              <w:t>1 Timothy 6:12</w:t>
            </w:r>
          </w:p>
          <w:p>
            <w:pPr>
              <w:spacing w:before="0" w:after="36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2"/>
              </w:rPr>
              <w:t>The Good Contest  ·  A Prayer for the Day</w:t>
            </w:r>
          </w:p>
          <w:p>
            <w:pPr>
              <w:spacing w:before="160" w:after="280"/>
              <w:jc w:val="center"/>
            </w:pPr>
            <w:r>
              <w:rPr>
                <w:rFonts w:ascii="Georgia" w:hAnsi="Georgia"/>
                <w:b/>
                <w:i w:val="0"/>
                <w:smallCaps/>
                <w:color w:val="2E2010"/>
                <w:sz w:val="20"/>
                <w:spacing w:val="80"/>
              </w:rPr>
              <w:t>The Bloomed Rendering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Contend the good contest of the faith —</w:t>
            </w:r>
          </w:p>
          <w:p>
            <w:pPr>
              <w:spacing w:before="0" w:after="20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the wrestler’s struggle, the runner’s race —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seize hold of the life of the ages,</w:t>
            </w:r>
          </w:p>
          <w:p>
            <w:pPr>
              <w:spacing w:before="0" w:after="20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grip it as a man grips a rope: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into this you were called,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and you spoke the same word back —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the good agreement, said out loud,</w:t>
            </w:r>
          </w:p>
          <w:p>
            <w:pPr>
              <w:spacing w:before="0" w:after="24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in the presence of many witnesses.</w:t>
            </w:r>
          </w:p>
          <w:p>
            <w:pPr>
              <w:spacing w:before="80" w:after="200"/>
              <w:jc w:val="center"/>
            </w:pPr>
            <w:r>
              <w:rPr>
                <w:rFonts w:ascii="Georgia" w:hAnsi="Georgia"/>
                <w:b/>
                <w:i w:val="0"/>
                <w:smallCaps/>
                <w:color w:val="2E2010"/>
                <w:sz w:val="20"/>
                <w:spacing w:val="80"/>
              </w:rPr>
              <w:t>The Greek Source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ἀγωνίζου τὸν καλὸν ἀγῶνα τῆς πίστεως,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ἐπιλαβοῦ τῆς αἰωνίου ζωῆς, εἰς ἣν ἐκλήθης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καὶ ὡμολόγησας τὴν καλὴν ὁμολογίαν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ἐνώπιον πολλῶν μαρτύρων.</w:t>
            </w:r>
          </w:p>
          <w:p>
            <w:pPr>
              <w:spacing w:before="0" w:after="80"/>
              <w:jc w:val="center"/>
            </w:pP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agōnizou ton kalon agōna tēs pisteōs,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epilabou tēs aiōniou zōēs, eis hēn eklēthēs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kai hōmologēsas tēn kalēn homologian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enōpion pollōn martyrōn.</w:t>
            </w:r>
          </w:p>
          <w:p>
            <w:pPr>
              <w:spacing w:before="2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8986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alM-mast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8986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86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