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1906" w:h="16838" w:orient="portrait"/>
      <w:pgMar w:top="1411" w:right="1411" w:bottom="1411" w:left="1411" w:header="708" w:footer="708" w:gutter="0"/>
      <w:pgNumType/>
      <w:docGrid w:linePitch="360"/>
    </w:sectPr>
    <w:p>
      <w:pPr>
        <w:keepNext/>
        <w:keepLines/>
        <w:spacing w:after="120" w:before="0"/>
        <w:jc w:val="center"/>
      </w:pPr>
      <w:r>
        <w:rPr>
          <w:b/>
          <w:bCs/>
          <w:i w:val="false"/>
          <w:iCs w:val="false"/>
          <w:sz w:val="44"/>
          <w:szCs w:val="44"/>
          <w:rtl w:val="false"/>
        </w:rPr>
        <w:t>The true tell</w:t>
      </w:r>
    </w:p>
    <w:p>
      <w:pPr>
        <w:spacing w:after="300" w:before="0"/>
        <w:jc w:val="center"/>
      </w:pPr>
      <w:r>
        <w:rPr>
          <w:b w:val="false"/>
          <w:bCs w:val="false"/>
          <w:i/>
          <w:iCs/>
          <w:sz w:val="28"/>
          <w:szCs w:val="28"/>
          <w:rtl w:val="false"/>
        </w:rPr>
        <w:t>The Bitcoin and Monero thesis — a scoreable record</w:t>
      </w:r>
    </w:p>
    <w:p>
      <w:pPr>
        <w:spacing w:after="120" w:before="0"/>
        <w:jc w:val="center"/>
      </w:pPr>
      <w:r>
        <w:rPr>
          <w:b w:val="false"/>
          <w:bCs w:val="false"/>
          <w:i w:val="false"/>
          <w:iCs w:val="false"/>
          <w:sz w:val="28"/>
          <w:szCs w:val="28"/>
          <w:rtl w:val="false"/>
        </w:rPr>
        <w:t>Perth, Western Australia</w:t>
      </w:r>
    </w:p>
    <w:p>
      <w:pPr>
        <w:spacing w:after="0" w:before="0"/>
        <w:jc w:val="center"/>
      </w:pPr>
      <w:r>
        <w:rPr>
          <w:b w:val="false"/>
          <w:bCs w:val="false"/>
          <w:i w:val="false"/>
          <w:iCs w:val="false"/>
          <w:sz w:val="22"/>
          <w:szCs w:val="22"/>
          <w:rtl w:val="false"/>
        </w:rPr>
        <w:t>Opened 26 August 2026 · Chamber thirteen, the Thirteenth Runner</w:t>
      </w:r>
    </w:p>
    <w:p>
      <w:pPr>
        <w:spacing w:after="0" w:before="0"/>
        <w:jc w:val="center"/>
      </w:pPr>
      <w:r>
        <w:rPr>
          <w:b w:val="false"/>
          <w:bCs w:val="false"/>
          <w:i w:val="false"/>
          <w:iCs w:val="false"/>
          <w:sz w:val="22"/>
          <w:szCs w:val="22"/>
          <w:rtl w:val="false"/>
        </w:rPr>
        <w:t>Claims dated from November 2022 · the thesis stated in public from May 2025 · current to 31 August 2026</w:t>
      </w:r>
    </w:p>
    <w:p>
      <w:pPr>
        <w:spacing w:before="200"/>
        <w:jc w:val="center"/>
      </w:pPr>
      <w:r>
        <w:rPr>
          <w:b w:val="false"/>
          <w:bCs w:val="false"/>
          <w:i/>
          <w:iCs/>
          <w:sz w:val="20"/>
          <w:szCs w:val="20"/>
          <w:rtl w:val="false"/>
        </w:rPr>
        <w:t>Compiled from the record by the Opus hand · the positions and the calls are Joe’s</w:t>
      </w:r>
    </w:p>
    <w:p>
      <w:pPr>
        <w:keepNext/>
        <w:keepLines/>
        <w:spacing w:after="240" w:before="760"/>
        <w:jc w:val="center"/>
      </w:pPr>
      <w:r>
        <w:rPr>
          <w:b/>
          <w:bCs/>
          <w:i w:val="false"/>
          <w:iCs w:val="false"/>
          <w:sz w:val="36"/>
          <w:szCs w:val="36"/>
          <w:rtl w:val="false"/>
        </w:rPr>
        <w:t>Why this exists</w:t>
      </w:r>
    </w:p>
    <w:p>
      <w:pPr>
        <w:jc w:val="center"/>
      </w:pPr>
      <w:r>
        <w:rPr>
          <w:b w:val="false"/>
          <w:bCs w:val="false"/>
          <w:i w:val="false"/>
          <w:iCs w:val="false"/>
          <w:sz w:val="22"/>
          <w:szCs w:val="22"/>
          <w:rtl w:val="false"/>
        </w:rPr>
        <w:t>To stop the argument being rebuilt from scratch in every chamber, and to keep the thinking honest. A position held in conversation drifts; a position written down with dates against it can be scored. That is the whole purpose. This document is not for publication.</w:t>
      </w:r>
    </w:p>
    <w:p>
      <w:pPr>
        <w:jc w:val="center"/>
      </w:pPr>
      <w:r>
        <w:rPr>
          <w:b w:val="false"/>
          <w:bCs w:val="false"/>
          <w:i w:val="false"/>
          <w:iCs w:val="false"/>
          <w:sz w:val="22"/>
          <w:szCs w:val="22"/>
          <w:rtl w:val="false"/>
        </w:rPr>
        <w:t>It is a ledger, not an essay. Every claim carries the date it was made, the mechanism stated at the time, and where the outcome stands. Where a counter-argument was put and survived, it is recorded with the claim rather than left out. A thesis document containing only the case for itself would be the model-with-its-conclusion-installed fault this thesis diagnoses in others.</w:t>
      </w:r>
    </w:p>
    <w:p>
      <w:pPr>
        <w:jc w:val="center"/>
      </w:pPr>
      <w:r>
        <w:rPr>
          <w:b w:val="false"/>
          <w:bCs w:val="false"/>
          <w:i w:val="false"/>
          <w:iCs w:val="false"/>
          <w:sz w:val="22"/>
          <w:szCs w:val="22"/>
          <w:rtl w:val="false"/>
        </w:rPr>
        <w:t>Scope: Bitcoin and Monero only. The two are one object — Monero’s relative performance is a leg of the Bitcoin case, not a separate position. The dollar thesis, the long-bond thesis and the equity-in-gold work are named here as dependencies and argued elsewhere.</w:t>
      </w:r>
    </w:p>
    <w:p>
      <w:pPr>
        <w:keepNext/>
        <w:keepLines/>
        <w:spacing w:after="240" w:before="760"/>
        <w:jc w:val="center"/>
      </w:pPr>
      <w:r>
        <w:rPr>
          <w:b/>
          <w:bCs/>
          <w:i w:val="false"/>
          <w:iCs w:val="false"/>
          <w:sz w:val="36"/>
          <w:szCs w:val="36"/>
          <w:rtl w:val="false"/>
        </w:rPr>
        <w:t>I · The claim in one paragraph</w:t>
      </w:r>
    </w:p>
    <w:p>
      <w:pPr>
        <w:jc w:val="center"/>
      </w:pPr>
      <w:r>
        <w:rPr>
          <w:b w:val="false"/>
          <w:bCs w:val="false"/>
          <w:i w:val="false"/>
          <w:iCs w:val="false"/>
          <w:sz w:val="22"/>
          <w:szCs w:val="22"/>
          <w:rtl w:val="false"/>
        </w:rPr>
        <w:t>Bitcoin has already failed either way. If it fails, it fails. If it succeeds, it fails — because success is precisely what draws the scrutiny that finds what is on the chain. The expected path is a last hurrah back above $100,000, drawing institutional attention and journalistic scrutiny it has not previously had; then a reckoning; then abandonment. Monero rallies alongside it and harder, is dragged down with it in the emotional phase, and is subsequently re-sorted because it is structurally distinguishable — it cannot store arbitrary data at all, and that is checkable from the protocol.</w:t>
      </w:r>
    </w:p>
    <w:p>
      <w:pPr>
        <w:keepNext/>
        <w:keepLines/>
        <w:spacing w:after="240" w:before="760"/>
        <w:jc w:val="center"/>
      </w:pPr>
      <w:r>
        <w:rPr>
          <w:b/>
          <w:bCs/>
          <w:i w:val="false"/>
          <w:iCs w:val="false"/>
          <w:sz w:val="36"/>
          <w:szCs w:val="36"/>
          <w:rtl w:val="false"/>
        </w:rPr>
        <w:t>II · The dated record</w:t>
      </w:r>
    </w:p>
    <w:p>
      <w:pPr>
        <w:keepNext/>
        <w:keepLines/>
        <w:spacing w:after="20" w:before="760"/>
        <w:jc w:val="center"/>
      </w:pPr>
      <w:r>
        <w:rPr>
          <w:b/>
          <w:bCs/>
          <w:i w:val="false"/>
          <w:iCs w:val="false"/>
          <w:sz w:val="28"/>
          <w:szCs w:val="28"/>
          <w:rtl w:val="false"/>
        </w:rPr>
        <w:t>May 2026 — The Mainline. The thesis is born</w:t>
      </w:r>
    </w:p>
    <w:p>
      <w:pPr>
        <w:jc w:val="center"/>
      </w:pPr>
      <w:r>
        <w:rPr>
          <w:b w:val="false"/>
          <w:bCs w:val="false"/>
          <w:i w:val="false"/>
          <w:iCs w:val="false"/>
          <w:sz w:val="22"/>
          <w:szCs w:val="22"/>
          <w:rtl w:val="false"/>
        </w:rPr>
        <w:t>The content case stated for the first time, unprompted and in his own words: “Gotta be free for me and sadly it’s captured — I think it’s too late, what about when illegal material makes it onto their blockchain.” Three months before any of the 2026 calls.</w:t>
      </w:r>
    </w:p>
    <w:p>
      <w:pPr>
        <w:jc w:val="center"/>
      </w:pPr>
      <w:r>
        <w:rPr>
          <w:b w:val="false"/>
          <w:bCs w:val="false"/>
          <w:i w:val="false"/>
          <w:iCs w:val="false"/>
          <w:sz w:val="22"/>
          <w:szCs w:val="22"/>
          <w:rtl w:val="false"/>
        </w:rPr>
        <w:t>And the constituency argument arrived in the same breath: “How could anyone expect sovereigns or large pension to start holding such an asset, it’s literally a sick joke.” Followed immediately by the salience argument, also complete: “More everyday holders would and will eventually sell as They find out, or the market pricing it forces action.”</w:t>
      </w:r>
    </w:p>
    <w:p>
      <w:pPr>
        <w:jc w:val="center"/>
      </w:pPr>
      <w:r>
        <w:rPr>
          <w:b w:val="false"/>
          <w:bCs w:val="false"/>
          <w:i w:val="false"/>
          <w:iCs w:val="false"/>
          <w:sz w:val="22"/>
          <w:szCs w:val="22"/>
          <w:rtl w:val="false"/>
        </w:rPr>
        <w:t>That matters for scoring. The reframing of August 2026 — that this is a salience thesis rather than a density thesis — did not introduce a new position. It recovered the one he stated in may. The density argument was the accretion; salience was the original.</w:t>
      </w:r>
    </w:p>
    <w:p>
      <w:pPr>
        <w:jc w:val="center"/>
      </w:pPr>
      <w:r>
        <w:rPr>
          <w:b w:val="false"/>
          <w:bCs w:val="false"/>
          <w:i w:val="false"/>
          <w:iCs w:val="false"/>
          <w:sz w:val="22"/>
          <w:szCs w:val="22"/>
          <w:rtl w:val="false"/>
        </w:rPr>
        <w:t>Also that month: Four structural concerns named — ETF capture, OP_RETURN Expansion, mining centralisation, political alignment. And the XMR/NDX cup-and-handle thesis targeting a retest of the January 2018 peak near 1.25M scaled.</w:t>
      </w:r>
    </w:p>
    <w:p>
      <w:pPr>
        <w:keepNext/>
        <w:keepLines/>
        <w:spacing w:after="20" w:before="760"/>
        <w:jc w:val="center"/>
      </w:pPr>
      <w:r>
        <w:rPr>
          <w:b/>
          <w:bCs/>
          <w:i w:val="false"/>
          <w:iCs w:val="false"/>
          <w:sz w:val="28"/>
          <w:szCs w:val="28"/>
          <w:rtl w:val="false"/>
        </w:rPr>
        <w:t>17 June 2026 — The Cartographer. The full scenario, five weeks before the $100k figure</w:t>
      </w:r>
    </w:p>
    <w:p>
      <w:pPr>
        <w:jc w:val="center"/>
      </w:pPr>
      <w:r>
        <w:rPr>
          <w:b w:val="false"/>
          <w:bCs w:val="false"/>
          <w:i w:val="false"/>
          <w:iCs w:val="false"/>
          <w:sz w:val="22"/>
          <w:szCs w:val="22"/>
          <w:rtl w:val="false"/>
        </w:rPr>
        <w:t>Stated as a sequence, not a menu: The dollar runs into resistance and rolls over; crypto rallies; Bitcoin rallies into resistance. And the discriminating detail — The ferocity of the rally is itself the tell. The October 2025 decline was violent because it was a recognition of a paradigm shift; the rally that follows will be fierce because it is corrective in a bear downtrend.</w:t>
      </w:r>
    </w:p>
    <w:p>
      <w:pPr>
        <w:jc w:val="center"/>
      </w:pPr>
      <w:r>
        <w:rPr>
          <w:b w:val="false"/>
          <w:bCs w:val="false"/>
          <w:i w:val="false"/>
          <w:iCs w:val="false"/>
          <w:sz w:val="22"/>
          <w:szCs w:val="22"/>
          <w:rtl w:val="false"/>
        </w:rPr>
        <w:t>“The fierceness of the rally gets people hyped again thinking new all-time highs, and they all go piling in at the top, at the heaviest resistance band, and They get trapped. Bull trapped.”</w:t>
      </w:r>
    </w:p>
    <w:p>
      <w:pPr>
        <w:jc w:val="center"/>
      </w:pPr>
      <w:r>
        <w:rPr>
          <w:b w:val="false"/>
          <w:bCs w:val="false"/>
          <w:i w:val="false"/>
          <w:iCs w:val="false"/>
          <w:sz w:val="22"/>
          <w:szCs w:val="22"/>
          <w:rtl w:val="false"/>
        </w:rPr>
        <w:t>And the principle under it, stated the same day: “the Price itself drives the narrative, not the other way around. The market happens, and they try and fit the news around it to suit.”</w:t>
      </w:r>
    </w:p>
    <w:p>
      <w:pPr>
        <w:jc w:val="center"/>
      </w:pPr>
      <w:r>
        <w:rPr>
          <w:b w:val="false"/>
          <w:bCs w:val="false"/>
          <w:i w:val="false"/>
          <w:iCs w:val="false"/>
          <w:sz w:val="22"/>
          <w:szCs w:val="22"/>
          <w:rtl w:val="false"/>
        </w:rPr>
        <w:t>The Monero leg, distinguished precisely: Monero may rise more slowly in absolute terms, and that is the point — Slow and steady means sustained structural bullishness rather than a corrective rally. “a rally from here in Bitcoin is a bear market rally. A rally from here in Monero is a bull market rally.” a new all-time high in Monero confirms it — and that high will arrive on the back of the financial press discovering its relative strength, which is what fuels the local top and prints the next fortune-teller spike.</w:t>
      </w:r>
    </w:p>
    <w:p>
      <w:pPr>
        <w:jc w:val="center"/>
      </w:pPr>
      <w:r>
        <w:rPr>
          <w:b w:val="false"/>
          <w:bCs w:val="false"/>
          <w:i w:val="false"/>
          <w:iCs w:val="false"/>
          <w:sz w:val="22"/>
          <w:szCs w:val="22"/>
          <w:rtl w:val="false"/>
        </w:rPr>
        <w:t>And a second falsifier was set that day, distinct from the one on the Nasdaq chart: If Monero collapses proportionally with Bitcoin through the broader test, the bifurcation was rotation only and the thesis fails. If it holds significantly higher, the bifurcation is structural. Two falsifiers now stand: One on relative structure, one on the absolute level.</w:t>
      </w:r>
    </w:p>
    <w:p>
      <w:pPr>
        <w:keepNext/>
        <w:keepLines/>
        <w:spacing w:after="20" w:before="760"/>
        <w:jc w:val="center"/>
      </w:pPr>
      <w:r>
        <w:rPr>
          <w:b/>
          <w:bCs/>
          <w:i w:val="false"/>
          <w:iCs w:val="false"/>
          <w:sz w:val="28"/>
          <w:szCs w:val="28"/>
          <w:rtl w:val="false"/>
        </w:rPr>
        <w:t>25 July 2026 — the $100,000 call, verbatim</w:t>
      </w:r>
    </w:p>
    <w:p>
      <w:pPr>
        <w:jc w:val="center"/>
      </w:pPr>
      <w:r>
        <w:rPr>
          <w:b w:val="false"/>
          <w:bCs w:val="false"/>
          <w:i w:val="false"/>
          <w:iCs w:val="false"/>
          <w:sz w:val="22"/>
          <w:szCs w:val="22"/>
          <w:rtl w:val="false"/>
        </w:rPr>
        <w:t>“If Bitcoin gets back above a hundred thousand US dollars, and I think it’s gonna get there on the back of a weaker US dollar too.” Bitcoin was around $66,000. The level, the weak-dollar mechanism, and the lower-high-in-francs reasoning were all in that one sentence.</w:t>
      </w:r>
    </w:p>
    <w:p>
      <w:pPr>
        <w:keepNext/>
        <w:keepLines/>
        <w:spacing w:after="20" w:before="760"/>
        <w:jc w:val="center"/>
      </w:pPr>
      <w:r>
        <w:rPr>
          <w:b/>
          <w:bCs/>
          <w:i w:val="false"/>
          <w:iCs w:val="false"/>
          <w:sz w:val="28"/>
          <w:szCs w:val="28"/>
          <w:rtl w:val="false"/>
        </w:rPr>
        <w:t>25 July 2026 — the invalidation, set while flat</w:t>
      </w:r>
    </w:p>
    <w:p>
      <w:pPr>
        <w:jc w:val="center"/>
      </w:pPr>
      <w:r>
        <w:rPr>
          <w:b w:val="false"/>
          <w:bCs w:val="false"/>
          <w:i w:val="false"/>
          <w:iCs w:val="false"/>
          <w:sz w:val="22"/>
          <w:szCs w:val="22"/>
          <w:rtl w:val="false"/>
        </w:rPr>
        <w:t>Three tiers on BTC/XMR. About 273.78, the pre-delisting level, is the warning. A single three-day candle close above 300 is the trigger to begin diversifying out. Trading back inside the body of the delisting impulse candle means the decentralisation recovery has been undone. The exit destination is cash, not another asset — because if the call fails, the framework that selected it is what has been falsified, so the next judgement from that framework should not be trusted either.</w:t>
      </w:r>
    </w:p>
    <w:p>
      <w:pPr>
        <w:keepNext/>
        <w:keepLines/>
        <w:spacing w:after="20" w:before="760"/>
        <w:jc w:val="center"/>
      </w:pPr>
      <w:r>
        <w:rPr>
          <w:b/>
          <w:bCs/>
          <w:i w:val="false"/>
          <w:iCs w:val="false"/>
          <w:sz w:val="28"/>
          <w:szCs w:val="28"/>
          <w:rtl w:val="false"/>
        </w:rPr>
        <w:t>31 August 2026 — the exit ladder, and the two exits distinguished</w:t>
      </w:r>
    </w:p>
    <w:p>
      <w:pPr>
        <w:jc w:val="center"/>
      </w:pPr>
      <w:r>
        <w:rPr>
          <w:b w:val="false"/>
          <w:bCs w:val="false"/>
          <w:i w:val="false"/>
          <w:iCs w:val="false"/>
          <w:sz w:val="22"/>
          <w:szCs w:val="22"/>
          <w:rtl w:val="false"/>
        </w:rPr>
        <w:t>The tiers above say WHEN. This says HOW, and it exists because the record produced the lesson. On 10 May 2025 the entry had been staged across four public updates over thirty months and the exit was one instruction: sell all of it. The emotion arrived as a single event, so the instruction took a single shape. That is the fault this section corrects.</w:t>
      </w:r>
    </w:p>
    <w:p>
      <w:pPr>
        <w:jc w:val="center"/>
      </w:pPr>
      <w:r>
        <w:rPr>
          <w:b w:val="false"/>
          <w:bCs w:val="false"/>
          <w:i w:val="false"/>
          <w:iCs w:val="false"/>
          <w:sz w:val="22"/>
          <w:szCs w:val="22"/>
          <w:rtl w:val="false"/>
        </w:rPr>
        <w:t>First, two exits must be kept apart, because they belong to opposite outcomes. THE INVALIDATION EXIT applies when the thesis is WRONG: BTC/XMR closes above 300 on three days, and the destination is cash. THE SUPERNOVA is the thesis being RIGHT — everything falls, Monero included, and there is no sale at all. The expectation there is that Monero takes its drawdown from a much higher base, having made new all-time highs, while Bitcoin fails before making its own. The ladder below belongs to the first case only.</w:t>
      </w:r>
    </w:p>
    <w:p>
      <w:pPr>
        <w:jc w:val="center"/>
      </w:pPr>
      <w:r>
        <w:rPr>
          <w:b w:val="false"/>
          <w:bCs w:val="false"/>
          <w:i w:val="false"/>
          <w:iCs w:val="false"/>
          <w:sz w:val="22"/>
          <w:szCs w:val="22"/>
          <w:rtl w:val="false"/>
        </w:rPr>
        <w:t>THE LADDER: THREE EQUAL TRANCHES. The first executes on the signal, unconditionally. The second on the same calendar date one month later. The third one month after that. Fully out in two months, equal thirds, no weightings and no discretion on the day. Three strikes: the signal is strike one, the following month strike two, the month after strike three and out — read on the same three-day bar the trigger is read on.</w:t>
      </w:r>
    </w:p>
    <w:p>
      <w:pPr>
        <w:jc w:val="center"/>
      </w:pPr>
      <w:r>
        <w:rPr>
          <w:b w:val="false"/>
          <w:bCs w:val="false"/>
          <w:i w:val="false"/>
          <w:iCs w:val="false"/>
          <w:sz w:val="22"/>
          <w:szCs w:val="22"/>
          <w:rtl w:val="false"/>
        </w:rPr>
        <w:t>THE CANCEL: if BTC/XMR closes back below 273.78 — the warning tier — on three days before the ladder completes, the remaining tranches are cancelled. Back under the warning means the trigger did not hold, and selling into an invalidated invalidation is the fault the cancel exists to prevent.</w:t>
      </w:r>
    </w:p>
    <w:p>
      <w:pPr>
        <w:jc w:val="center"/>
      </w:pPr>
      <w:r>
        <w:rPr>
          <w:b w:val="false"/>
          <w:bCs w:val="false"/>
          <w:i w:val="false"/>
          <w:iCs w:val="false"/>
          <w:sz w:val="22"/>
          <w:szCs w:val="22"/>
          <w:rtl w:val="false"/>
        </w:rPr>
        <w:t>Why three and not six. The ladder's length is set by the shape of the expected decline, and this thesis forecasts a violent one rather than a rounded top; a six-month ladder would execute its later tranches deep into a collapse at progressively worse prices. Why calendar-clocked and not price-clocked. A rising ladder never completes when the selling is into weakness, and weakness is what is forecast. Why the first tranche is unconditional. That is what converts deciding into executing, and breaks a single emotional event into three separate ones.</w:t>
      </w:r>
    </w:p>
    <w:p>
      <w:pPr>
        <w:jc w:val="center"/>
      </w:pPr>
      <w:r>
        <w:rPr>
          <w:b w:val="false"/>
          <w:bCs w:val="false"/>
          <w:i w:val="false"/>
          <w:iCs w:val="false"/>
          <w:sz w:val="22"/>
          <w:szCs w:val="22"/>
          <w:rtl w:val="false"/>
        </w:rPr>
        <w:t>And the cost is stated rather than hidden: a staged exit UNDERPERFORMS a lump exit when the move is one-directional. If price falls straight from the signal, every tranche after the first receives a worse price. Staging is insurance against being wrong about timing, paid for in returns if the timing is right. It is bought deliberately, not for free.</w:t>
      </w:r>
    </w:p>
    <w:p>
      <w:pPr>
        <w:jc w:val="center"/>
      </w:pPr>
      <w:r>
        <w:rPr>
          <w:b w:val="false"/>
          <w:bCs w:val="false"/>
          <w:i w:val="false"/>
          <w:iCs w:val="false"/>
          <w:sz w:val="22"/>
          <w:szCs w:val="22"/>
          <w:rtl w:val="false"/>
        </w:rPr>
        <w:t>One asymmetry worth recording, because it is easy to get backwards. Entry staging solves PRICE uncertainty — the bottom is unknown, and being early is survivable with capital in reserve. Exit staging solves a BEHAVIOURAL problem — the compulsion to act all at once, and the unreliability of that compulsion. So the exit ladder is set by the impulse rather than by the price, and holding time earns a position no additional patience once the condition fires. Feeling that it should is the marriage, not the analysis.</w:t>
      </w:r>
    </w:p>
    <w:p>
      <w:pPr>
        <w:jc w:val="center"/>
      </w:pPr>
      <w:r>
        <w:rPr>
          <w:b w:val="false"/>
          <w:bCs w:val="false"/>
          <w:i w:val="false"/>
          <w:iCs w:val="false"/>
          <w:sz w:val="22"/>
          <w:szCs w:val="22"/>
          <w:rtl w:val="false"/>
        </w:rPr>
        <w:t>Outstanding and named as outstanding: the intention to buy into the supernova has no written level. Planning to buy a crash is the easiest thing to state in advance and the hardest to execute, because on arrival it does not feel like an opportunity. If buying is the plan it requires a level on the same discipline as this ladder. The mining project bears on it — a miner running through a decline is an accumulation programme that cannot panic, which is the calendar argument applied to buying instead of selling.</w:t>
      </w:r>
    </w:p>
    <w:p>
      <w:pPr>
        <w:keepNext/>
        <w:keepLines/>
        <w:spacing w:after="20" w:before="760"/>
        <w:jc w:val="center"/>
      </w:pPr>
      <w:r>
        <w:rPr>
          <w:b/>
          <w:bCs/>
          <w:i w:val="false"/>
          <w:iCs w:val="false"/>
          <w:sz w:val="28"/>
          <w:szCs w:val="28"/>
          <w:rtl w:val="false"/>
        </w:rPr>
        <w:t>19–20 August 2026 — the call lands, with numbers</w:t>
      </w:r>
    </w:p>
    <w:p>
      <w:pPr>
        <w:jc w:val="center"/>
      </w:pPr>
      <w:r>
        <w:rPr>
          <w:b w:val="false"/>
          <w:bCs w:val="false"/>
          <w:i w:val="false"/>
          <w:iCs w:val="false"/>
          <w:sz w:val="22"/>
          <w:szCs w:val="22"/>
          <w:rtl w:val="false"/>
        </w:rPr>
        <w:t>US Treasury announced mid-quarter it would at least double long-end buybacks — a surprise, on nobody’s calendar. DXY fell 0.82% to 98.84, a three-month low. Bitcoin +8% to about $69,500, through the 100- and 200-day averages, with $1.44bn of shorts liquidated — the largest short wipeout in records back to 2021. Gold +3.88%. The mechanism and direction had been stated 25 days earlier, and the shape two months before that.</w:t>
      </w:r>
    </w:p>
    <w:p>
      <w:pPr>
        <w:jc w:val="center"/>
      </w:pPr>
      <w:r>
        <w:rPr>
          <w:b w:val="false"/>
          <w:bCs w:val="false"/>
          <w:i w:val="false"/>
          <w:iCs w:val="false"/>
          <w:sz w:val="22"/>
          <w:szCs w:val="22"/>
          <w:rtl w:val="false"/>
        </w:rPr>
        <w:t>The number that proved the structural read: The aggregated BTC long-short accounts ratio fell to 0.835 from about 1.05 — more accounts were positioned short into the break than long. “Too much meat there”, measured. And the character matched the june forecast: A record short wipeout is the ferocious corrective rally he described, not an accumulation.</w:t>
      </w:r>
    </w:p>
    <w:p>
      <w:pPr>
        <w:keepNext/>
        <w:keepLines/>
        <w:spacing w:after="20" w:before="760"/>
        <w:jc w:val="center"/>
      </w:pPr>
      <w:r>
        <w:rPr>
          <w:b/>
          <w:bCs/>
          <w:i w:val="false"/>
          <w:iCs w:val="false"/>
          <w:sz w:val="28"/>
          <w:szCs w:val="28"/>
          <w:rtl w:val="false"/>
        </w:rPr>
        <w:t>21 August 2026</w:t>
      </w:r>
    </w:p>
    <w:p>
      <w:pPr>
        <w:jc w:val="center"/>
      </w:pPr>
      <w:r>
        <w:rPr>
          <w:b w:val="false"/>
          <w:bCs w:val="false"/>
          <w:i w:val="false"/>
          <w:iCs w:val="false"/>
          <w:sz w:val="22"/>
          <w:szCs w:val="22"/>
          <w:rtl w:val="false"/>
        </w:rPr>
        <w:t>Bitcoin peaked at $79,484, +24.2% from Wednesday’s ~$64,000. BTC/XMR reached 199 against his pre-registered tolerance of “could go to 200 and I wouldn’t be worried whatsoever”. Monero was up about 7.8% in dollar terms over the same stretch — participating and lagging, not being abandoned. That distinction is load-bearing.</w:t>
      </w:r>
    </w:p>
    <w:p>
      <w:pPr>
        <w:keepNext/>
        <w:keepLines/>
        <w:spacing w:after="20" w:before="760"/>
        <w:jc w:val="center"/>
      </w:pPr>
      <w:r>
        <w:rPr>
          <w:b/>
          <w:bCs/>
          <w:i w:val="false"/>
          <w:iCs w:val="false"/>
          <w:sz w:val="28"/>
          <w:szCs w:val="28"/>
          <w:rtl w:val="false"/>
        </w:rPr>
        <w:t>25 August 2026 — the Monero fortune-teller wicks</w:t>
      </w:r>
    </w:p>
    <w:p>
      <w:pPr>
        <w:jc w:val="center"/>
      </w:pPr>
      <w:r>
        <w:rPr>
          <w:b w:val="false"/>
          <w:bCs w:val="false"/>
          <w:i w:val="false"/>
          <w:iCs w:val="false"/>
          <w:sz w:val="22"/>
          <w:szCs w:val="22"/>
          <w:rtl w:val="false"/>
        </w:rPr>
        <w:t>Of the 12 June 2026 week high, five denominators have now closed above: Vxn on 5 August, orange juice on 9 August, USD on 23 August at 432.04 against the 426.32 high, the NASDAQ on the 2am bar of 25 August, and the fxcm dollar basket on the 8am bar. Still open: Yen, silver, gold. Gold is last and furthest, which is gold doing exactly the job it is held for.</w:t>
      </w:r>
    </w:p>
    <w:p>
      <w:pPr>
        <w:keepNext/>
        <w:keepLines/>
        <w:spacing w:after="240" w:before="760"/>
        <w:jc w:val="center"/>
      </w:pPr>
      <w:r>
        <w:rPr>
          <w:b/>
          <w:bCs/>
          <w:i w:val="false"/>
          <w:iCs w:val="false"/>
          <w:sz w:val="36"/>
          <w:szCs w:val="36"/>
          <w:rtl w:val="false"/>
        </w:rPr>
        <w:t>30 August 2026 — the set completes</w:t>
      </w:r>
    </w:p>
    <w:p>
      <w:pPr>
        <w:keepNext/>
        <w:keepLines/>
        <w:spacing w:after="20" w:before="760"/>
        <w:jc w:val="center"/>
      </w:pPr>
      <w:r>
        <w:rPr>
          <w:b/>
          <w:bCs/>
          <w:i w:val="false"/>
          <w:iCs w:val="false"/>
          <w:sz w:val="28"/>
          <w:szCs w:val="28"/>
          <w:rtl w:val="false"/>
        </w:rPr>
        <w:t>Gold closed above. The 8am nine-hour bar closed at 2.01M against the 2,000,000 wick, and the following bar opened 2.01M and traded 2.02M. Eight of eight, from a wick printed 11-13 June 2026 — eleven weeks end to end, in the order predicted: VXN 5 August, orange juice 9 August, USD 23 August, NASDAQ 25 August, the FXCM dollar basket 25 August, silver 27 August, the yen 27 August, gold 30 August. The hardness ordering did not break once.</w:t>
      </w:r>
    </w:p>
    <w:p>
      <w:pPr>
        <w:keepNext/>
        <w:keepLines/>
        <w:spacing w:after="20" w:before="760"/>
        <w:jc w:val="center"/>
      </w:pPr>
      <w:r>
        <w:rPr>
          <w:b/>
          <w:bCs/>
          <w:i w:val="false"/>
          <w:iCs w:val="false"/>
          <w:sz w:val="28"/>
          <w:szCs w:val="28"/>
          <w:rtl w:val="false"/>
        </w:rPr>
        <w:t>Two things about the manner of it. Gold is the hardest measure in the set and it signed off while gold itself was strong, which removes the denominator-weakness reading entirely. And the volatility objection dies here: were the ordering driven by denominator volatility rather than hardness, gold — the smoothest stick in the set — should have filled early. It filled last. What this proves and does not prove is stated plainly: the eight wicks came from one week on one numerator, so the fills are one fact measured eight ways rather than eight independent tests. The ordering is the separate claim, and it could have failed at every step.</w:t>
      </w:r>
    </w:p>
    <w:p>
      <w:pPr>
        <w:keepNext/>
        <w:keepLines/>
        <w:spacing w:after="20" w:before="760"/>
        <w:jc w:val="center"/>
      </w:pPr>
      <w:r>
        <w:rPr>
          <w:b/>
          <w:bCs/>
          <w:i w:val="false"/>
          <w:iCs w:val="false"/>
          <w:sz w:val="28"/>
          <w:szCs w:val="28"/>
          <w:rtl w:val="false"/>
        </w:rPr>
        <w:t>29–31 August 2026 — the set completes, and the ratio closes on its wick</w:t>
      </w:r>
    </w:p>
    <w:p>
      <w:pPr>
        <w:jc w:val="center"/>
      </w:pPr>
      <w:r>
        <w:rPr>
          <w:b w:val="false"/>
          <w:bCs w:val="false"/>
          <w:i w:val="false"/>
          <w:iCs w:val="false"/>
          <w:sz w:val="22"/>
          <w:szCs w:val="22"/>
          <w:rtl w:val="false"/>
        </w:rPr>
        <w:t>Gold signed off. On the nine-hour XMR/GOLD chart the 8:00am bar of 30 August closed at 2.01M against the June wick near 2.00M, and the following bar opened 2.01 and ran to 2.02 with its low above the level. Gold was the last denominator open and the hardest in the set, and it cleared while gold itself was strong — which removes the denominator-weakness reading entirely. On 31 August Bitcoin market cap denominated in Monero market cap printed a low of 154.11, against a fortune-teller wick target of 151.95 — 1.4% away, from 15.7% two days earlier. Monero traded to $546.96, and XMR in orange juice reached 69.5M against an all-time high of 74.85M, making it the denominator on which a new all-time high will arrive first. For the full arc of that ratio: it peaked at 205.367 on the August squeeze, then 189.17, 186.952, 178.05, 162.38, 160.18 and 154.11 — a fall of about 25 per cent in ten days, and the Monero-reasserts call of 22 August working through. Note what it means for the invalidation set on 25 July while flat: the warning tier is 273.78 and the trigger 300, so from its highest print the ratio would have needed a further 33 per cent to reach the warning alone. The invalidation has never been approached, let alone tested.</w:t>
      </w:r>
    </w:p>
    <w:p>
      <w:pPr>
        <w:keepNext/>
        <w:keepLines/>
        <w:spacing w:after="20" w:before="760"/>
        <w:jc w:val="center"/>
      </w:pPr>
      <w:r>
        <w:rPr>
          <w:b/>
          <w:bCs/>
          <w:i w:val="false"/>
          <w:iCs w:val="false"/>
          <w:sz w:val="28"/>
          <w:szCs w:val="28"/>
          <w:rtl w:val="false"/>
        </w:rPr>
        <w:t>31 August 2026 — hollow ground, and a fourth pre-registered level</w:t>
      </w:r>
    </w:p>
    <w:p>
      <w:pPr>
        <w:jc w:val="center"/>
      </w:pPr>
      <w:r>
        <w:rPr>
          <w:b w:val="false"/>
          <w:bCs w:val="false"/>
          <w:i w:val="false"/>
          <w:iCs w:val="false"/>
          <w:sz w:val="22"/>
          <w:szCs w:val="22"/>
          <w:rtl w:val="false"/>
        </w:rPr>
        <w:t>A second artifact class, named this day. A fortune-teller wick marks a rejected price. Hollow ground marks an undefended one: price went there and stayed, but the buying was forced closure rather than demand, so almost no holders with conviction were created. A level built by willing buyers is defended on a retest; a level built by covering has no defenders. Both are vacuums, and a wick is hollow ground compressed into a single bar. The live instance is on crypto total market cap in Swiss francs: a near-vertical block from a base at 1.78T to about 2.16T, transited in roughly two days from 19 August, with price since chopping without progressing. The pre-registered claim is a sequence and must be scored as one — the rally continues into 3 trillion Swiss francs as resistance, and only then returns to fill the block. A retrace that happens now, holds as support and makes a new high above 2.16T is backfill and counts against the reading. The 3T level is not merely round: it is where price spent the most time across the entire two-year topping process, beneath a quadruple top at 3.2 to 3.35T. Failure at 3T without reclaiming 3.3T means the retrace does not stop at the block.</w:t>
      </w:r>
    </w:p>
    <w:p>
      <w:pPr>
        <w:keepNext/>
        <w:keepLines/>
        <w:spacing w:after="20" w:before="760"/>
        <w:jc w:val="center"/>
      </w:pPr>
      <w:r>
        <w:rPr>
          <w:b/>
          <w:bCs/>
          <w:i w:val="false"/>
          <w:iCs w:val="false"/>
          <w:sz w:val="28"/>
          <w:szCs w:val="28"/>
          <w:rtl w:val="false"/>
        </w:rPr>
        <w:t>31 August 2026 — seventeen years, and the two adoptions</w:t>
      </w:r>
    </w:p>
    <w:p>
      <w:pPr>
        <w:jc w:val="center"/>
      </w:pPr>
      <w:r>
        <w:rPr>
          <w:b w:val="false"/>
          <w:bCs w:val="false"/>
          <w:i w:val="false"/>
          <w:iCs w:val="false"/>
          <w:sz w:val="22"/>
          <w:szCs w:val="22"/>
          <w:rtl w:val="false"/>
        </w:rPr>
        <w:t>The genesis block is dated 3 January 2009, so the network is seventeen years and seven months old. The defence that monetary adoption moves slowly — the dollar took decades to displace sterling — holds only if the curve is slow. It does not hold if the curve has reversed. Separate the two adoptions: as an asset Bitcoin has plainly succeeded, through ETFs, treasuries and institutional plumbing. As money it has not, and on transaction counts, merchant acceptance and medium-of-exchange use it is less used for its founding purpose than it was. Seventeen years is long enough for that to be informative.</w:t>
      </w:r>
    </w:p>
    <w:p>
      <w:pPr>
        <w:keepNext/>
        <w:keepLines/>
        <w:spacing w:after="20" w:before="760"/>
        <w:jc w:val="center"/>
      </w:pPr>
      <w:r>
        <w:rPr>
          <w:b/>
          <w:bCs/>
          <w:i w:val="false"/>
          <w:iCs w:val="false"/>
          <w:sz w:val="28"/>
          <w:szCs w:val="28"/>
          <w:rtl w:val="false"/>
        </w:rPr>
        <w:t>31 August 2026 — the protest, measured</w:t>
      </w:r>
    </w:p>
    <w:p>
      <w:pPr>
        <w:jc w:val="center"/>
      </w:pPr>
      <w:r>
        <w:rPr>
          <w:b w:val="false"/>
          <w:bCs w:val="false"/>
          <w:i w:val="false"/>
          <w:iCs w:val="false"/>
          <w:sz w:val="22"/>
          <w:szCs w:val="22"/>
          <w:rtl w:val="false"/>
        </w:rPr>
        <w:t>Bitcoin Knots ran from roughly 1% of reachable nodes in early 2024 to 12% in June 2025, 19% on 9 September 2025, and a peak of 7,110 nodes and 25.45% on 14 September 2025 — a 47.6% rise in five days while Core moved 1.5%. By 22 September it had fallen 32% from that peak, and in 2026 it sits just above 22% against Core's 77%. The surge was anticipatory and topped before version 30 shipped. Node counts are contested by both camps, but the shape is visible in the source both sides use. The internal critics existed, organised, reached a quarter of the network, and lost.</w:t>
      </w:r>
    </w:p>
    <w:p>
      <w:pPr>
        <w:keepNext/>
        <w:keepLines/>
        <w:spacing w:after="240" w:before="760"/>
        <w:jc w:val="center"/>
      </w:pPr>
      <w:r>
        <w:rPr>
          <w:b/>
          <w:bCs/>
          <w:i w:val="false"/>
          <w:iCs w:val="false"/>
          <w:sz w:val="36"/>
          <w:szCs w:val="36"/>
          <w:rtl w:val="false"/>
        </w:rPr>
        <w:t>II‹b› · The chain, dated</w:t>
      </w:r>
    </w:p>
    <w:p>
      <w:pPr>
        <w:jc w:val="center"/>
      </w:pPr>
      <w:r>
        <w:rPr>
          <w:b w:val="false"/>
          <w:bCs w:val="false"/>
          <w:i w:val="false"/>
          <w:iCs w:val="false"/>
          <w:sz w:val="22"/>
          <w:szCs w:val="22"/>
          <w:rtl w:val="false"/>
        </w:rPr>
        <w:t>The factual spine, established May 2026 and not disputed since.</w:t>
      </w:r>
    </w:p>
    <w:p>
      <w:pPr>
        <w:jc w:val="center"/>
      </w:pPr>
      <w:r>
        <w:rPr>
          <w:b w:val="false"/>
          <w:bCs w:val="false"/>
          <w:i w:val="false"/>
          <w:iCs w:val="false"/>
          <w:sz w:val="22"/>
          <w:szCs w:val="22"/>
          <w:rtl w:val="false"/>
        </w:rPr>
        <w:t>March 2018 — researchers at rwth Aachen and Goethe university Frankfurt publish the first quantitative analysis of arbitrary content on the chain. About 1,600 non-financial files; eight containing sexual content; one image suspected to be abuse material; two files carrying 274 links, 142 of them to Tor services. Extraction required specialised tools at that time.</w:t>
      </w:r>
    </w:p>
    <w:p>
      <w:pPr>
        <w:jc w:val="center"/>
      </w:pPr>
      <w:r>
        <w:rPr>
          <w:b w:val="false"/>
          <w:bCs w:val="false"/>
          <w:i w:val="false"/>
          <w:iCs w:val="false"/>
          <w:sz w:val="22"/>
          <w:szCs w:val="22"/>
          <w:rtl w:val="false"/>
        </w:rPr>
        <w:t>2023 — Ordinals and Inscriptions launch using Taproot witness data, bypassing the OP_RETURN Limit entirely by a different technical path. The dam breaks at the technical level while the official limit stands.</w:t>
      </w:r>
    </w:p>
    <w:p>
      <w:pPr>
        <w:jc w:val="center"/>
      </w:pPr>
      <w:r>
        <w:rPr>
          <w:b w:val="false"/>
          <w:bCs w:val="false"/>
          <w:i w:val="false"/>
          <w:iCs w:val="false"/>
          <w:sz w:val="22"/>
          <w:szCs w:val="22"/>
          <w:rtl w:val="false"/>
        </w:rPr>
        <w:t>April 2025 — the proposal to remove the OP_RETURN limit is revisited. June 2025 — Bitcoin Core merges the change. 30 October 2025 — Bitcoin Core 30 takes effect, removing the cap and permitting up to 4 Megabytes per output.</w:t>
      </w:r>
    </w:p>
    <w:p>
      <w:pPr>
        <w:jc w:val="center"/>
      </w:pPr>
      <w:r>
        <w:rPr>
          <w:b w:val="false"/>
          <w:bCs w:val="false"/>
          <w:i w:val="false"/>
          <w:iCs w:val="false"/>
          <w:sz w:val="22"/>
          <w:szCs w:val="22"/>
          <w:rtl w:val="false"/>
        </w:rPr>
        <w:t>The community split is measurable: Bitcoin Core’s node share fell from about 98% to 88%, with Bitcoin Knots gaining in protest. The objection was raised explicitly during the debate and overruled. That date is the hinge on which the 2024-diligence objection turns — anything examined before 30 October 2025 was a different object.</w:t>
      </w:r>
    </w:p>
    <w:p>
      <w:pPr>
        <w:keepNext/>
        <w:keepLines/>
        <w:spacing w:after="240" w:before="760"/>
        <w:jc w:val="center"/>
      </w:pPr>
      <w:r>
        <w:rPr>
          <w:b/>
          <w:bCs/>
          <w:i w:val="false"/>
          <w:iCs w:val="false"/>
          <w:sz w:val="36"/>
          <w:szCs w:val="36"/>
          <w:rtl w:val="false"/>
        </w:rPr>
        <w:t>II‹c› · The author was a buyer</w:t>
      </w:r>
    </w:p>
    <w:p>
      <w:pPr>
        <w:jc w:val="center"/>
      </w:pPr>
      <w:r>
        <w:rPr>
          <w:b w:val="false"/>
          <w:bCs w:val="false"/>
          <w:i w:val="false"/>
          <w:iCs w:val="false"/>
          <w:sz w:val="22"/>
          <w:szCs w:val="22"/>
          <w:rtl w:val="false"/>
        </w:rPr>
        <w:t>This section establishes one thing only: that the position is not motivated bearishness. It is not evidence that the thesis is right. The record is public on tradingView under d-MR96nBa, timestamped by a platform the author does not control, and it can be read at source. It is not a track record — no position was held in 2022 either. It is a prior instance of the same instrument: no stake, a public call, a stated mechanism, dated, and run to completion.</w:t>
      </w:r>
    </w:p>
    <w:p>
      <w:pPr>
        <w:keepNext/>
        <w:keepLines/>
        <w:spacing w:after="20" w:before="760"/>
        <w:jc w:val="center"/>
      </w:pPr>
      <w:r>
        <w:rPr>
          <w:b/>
          <w:bCs/>
          <w:i w:val="false"/>
          <w:iCs w:val="false"/>
          <w:sz w:val="28"/>
          <w:szCs w:val="28"/>
          <w:rtl w:val="false"/>
        </w:rPr>
        <w:t>11 November 2022 — the entry</w:t>
      </w:r>
    </w:p>
    <w:p>
      <w:pPr>
        <w:jc w:val="center"/>
      </w:pPr>
      <w:r>
        <w:rPr>
          <w:b w:val="false"/>
          <w:bCs w:val="false"/>
          <w:i w:val="false"/>
          <w:iCs w:val="false"/>
          <w:sz w:val="22"/>
          <w:szCs w:val="22"/>
          <w:rtl w:val="false"/>
        </w:rPr>
        <w:t>Published as “Bitcoin : If You're Believer, I'd Be A Buyer” on 808-minute bars. The bar it was published into read O 17,557.43 H 17,643.65 L 16,835.77 C 17,313.16, down 1.39% — a red candle, on the day FTX filed for chapter 11, with the two-year low of 15,613 having printed the day before. The text, verbatim: “I'm Going To Put It To You Plain And Simple. If You're Long Term Investor/Believer I'd Be Buying At These Levels.” Four charts were posted with it — BTC/USD, BTC/JPY, BTC/AUD and BTC total market cap. The denominator method is therefore documented from 2022, not a later development. Tags included Kondratieff wave, support and resistance, volatility. The listed related publication is the author's own “USD.Dominance Diverging — Fuel For Future Financial Flurry” of 14 July 2022, which timestamps the dollar dependency named in Section VIII four months ahead of the buy call.</w:t>
      </w:r>
    </w:p>
    <w:p>
      <w:pPr>
        <w:keepNext/>
        <w:keepLines/>
        <w:spacing w:after="20" w:before="760"/>
        <w:jc w:val="center"/>
      </w:pPr>
      <w:r>
        <w:rPr>
          <w:b/>
          <w:bCs/>
          <w:i w:val="false"/>
          <w:iCs w:val="false"/>
          <w:sz w:val="28"/>
          <w:szCs w:val="28"/>
          <w:rtl w:val="false"/>
        </w:rPr>
        <w:t>12 November 2022 — first maintenance</w:t>
      </w:r>
    </w:p>
    <w:p>
      <w:pPr>
        <w:jc w:val="center"/>
      </w:pPr>
      <w:r>
        <w:rPr>
          <w:b w:val="false"/>
          <w:bCs w:val="false"/>
          <w:i w:val="false"/>
          <w:iCs w:val="false"/>
          <w:sz w:val="22"/>
          <w:szCs w:val="22"/>
          <w:rtl w:val="false"/>
        </w:rPr>
        <w:t>“DCA BTC For The Long-Term Here. Check The Technicals Compared To June. It's Internally Stronger Than It Appears.” A comparative structural read against a prior low, given as the reason — the same claim shape used for Monero today: strength visible in the structure before it is visible in the narrative.</w:t>
      </w:r>
    </w:p>
    <w:p>
      <w:pPr>
        <w:keepNext/>
        <w:keepLines/>
        <w:spacing w:after="20" w:before="760"/>
        <w:jc w:val="center"/>
      </w:pPr>
      <w:r>
        <w:rPr>
          <w:b/>
          <w:bCs/>
          <w:i w:val="false"/>
          <w:iCs w:val="false"/>
          <w:sz w:val="28"/>
          <w:szCs w:val="28"/>
          <w:rtl w:val="false"/>
        </w:rPr>
        <w:t>22 November 2022 — the mechanism, and the denominator doing its job</w:t>
      </w:r>
    </w:p>
    <w:p>
      <w:pPr>
        <w:jc w:val="center"/>
      </w:pPr>
      <w:r>
        <w:rPr>
          <w:b w:val="false"/>
          <w:bCs w:val="false"/>
          <w:i w:val="false"/>
          <w:iCs w:val="false"/>
          <w:sz w:val="22"/>
          <w:szCs w:val="22"/>
          <w:rtl w:val="false"/>
        </w:rPr>
        <w:t>“BTC/USD Market Cap — Downward Momentum Peaked 15th June 2022. Subsequent Lows Having Less Aka Divergent Downward Momentum Indicated. Wavetrend Touching Outer Range &amp; Diverging. Probable Fakedown Lows Here. DCA A OKAY For Long-Term Retirement One Day.” Fakedown is the author's own word for what Wyckoff calls a spring, and the cycle low had printed the day before. A second note the same day: “Dialling In 555. Total Crypto Cap Priced In JPY Still Above 101 Trillion Yen June Low.” Bitcoin in dollars had broken to new lows; total crypto in yen had not. One market, two measuring sticks, and only one of them making new lows.</w:t>
      </w:r>
    </w:p>
    <w:p>
      <w:pPr>
        <w:keepNext/>
        <w:keepLines/>
        <w:spacing w:after="20" w:before="760"/>
        <w:jc w:val="center"/>
      </w:pPr>
      <w:r>
        <w:rPr>
          <w:b/>
          <w:bCs/>
          <w:i w:val="false"/>
          <w:iCs w:val="false"/>
          <w:sz w:val="28"/>
          <w:szCs w:val="28"/>
          <w:rtl w:val="false"/>
        </w:rPr>
        <w:t>17 September 2023 — maintenance held</w:t>
      </w:r>
    </w:p>
    <w:p>
      <w:pPr>
        <w:jc w:val="center"/>
      </w:pPr>
      <w:r>
        <w:rPr>
          <w:b w:val="false"/>
          <w:bCs w:val="false"/>
          <w:i w:val="false"/>
          <w:iCs w:val="false"/>
          <w:sz w:val="22"/>
          <w:szCs w:val="22"/>
          <w:rtl w:val="false"/>
        </w:rPr>
        <w:t>“Keep Swapping Those Cash Stacks For Them Sats Stacks. Dollar Cost Like A Boss.” Ten months on, the instruction unchanged, the same three denominated charts attached. A record with maintenance in it is materially harder to reconstruct after the fact than one with only endpoints.</w:t>
      </w:r>
    </w:p>
    <w:p>
      <w:pPr>
        <w:keepNext/>
        <w:keepLines/>
        <w:spacing w:after="20" w:before="760"/>
        <w:jc w:val="center"/>
      </w:pPr>
      <w:r>
        <w:rPr>
          <w:b/>
          <w:bCs/>
          <w:i w:val="false"/>
          <w:iCs w:val="false"/>
          <w:sz w:val="28"/>
          <w:szCs w:val="28"/>
          <w:rtl w:val="false"/>
        </w:rPr>
        <w:t>17 February 2024 — the yen calls the top first</w:t>
      </w:r>
    </w:p>
    <w:p>
      <w:pPr>
        <w:jc w:val="center"/>
      </w:pPr>
      <w:r>
        <w:rPr>
          <w:b w:val="false"/>
          <w:bCs w:val="false"/>
          <w:i w:val="false"/>
          <w:iCs w:val="false"/>
          <w:sz w:val="22"/>
          <w:szCs w:val="22"/>
          <w:rtl w:val="false"/>
        </w:rPr>
        <w:t>“Re-Dialling 555. BTC In Yen Has Already Hit A New All-time High.” The same tag as November 2022, now at the other end of the move. The yen chart marked the bottom and then marked the new high before the dollar chart did.</w:t>
      </w:r>
    </w:p>
    <w:p>
      <w:pPr>
        <w:keepNext/>
        <w:keepLines/>
        <w:spacing w:after="20" w:before="760"/>
        <w:jc w:val="center"/>
      </w:pPr>
      <w:r>
        <w:rPr>
          <w:b/>
          <w:bCs/>
          <w:i w:val="false"/>
          <w:iCs w:val="false"/>
          <w:sz w:val="28"/>
          <w:szCs w:val="28"/>
          <w:rtl w:val="false"/>
        </w:rPr>
        <w:t>10 May 2025 — the close</w:t>
      </w:r>
    </w:p>
    <w:p>
      <w:pPr>
        <w:jc w:val="center"/>
      </w:pPr>
      <w:r>
        <w:rPr>
          <w:b w:val="false"/>
          <w:bCs w:val="false"/>
          <w:i w:val="false"/>
          <w:iCs w:val="false"/>
          <w:sz w:val="22"/>
          <w:szCs w:val="22"/>
          <w:rtl w:val="false"/>
        </w:rPr>
        <w:t>“Trade closed: target reached. If You're Reading This.. I Think It's Time To Sell All Of It. That is all.” A second post the same day gives the level: 1.618 — not a Fibonacci retracement but 161.8 million as a price on BTC/USDOLLAR, three days per candle, the same construction and interval as the falsifier chart in Section VI. The published bar read O 159.55M H 161.06M L 159.55M C 160.9M, up 0.71% — sold into a green bar, into strength, at a drawn level, with a double top marked at 161.8 from the December 2024 and February 2025 highs.</w:t>
      </w:r>
    </w:p>
    <w:p>
      <w:pPr>
        <w:jc w:val="center"/>
      </w:pPr>
      <w:r>
        <w:rPr>
          <w:b w:val="false"/>
          <w:bCs w:val="false"/>
          <w:i w:val="false"/>
          <w:iCs w:val="false"/>
          <w:sz w:val="22"/>
          <w:szCs w:val="22"/>
          <w:rtl w:val="false"/>
        </w:rPr>
        <w:t>The ordering is recorded honestly because the timestamps preserve it: the conviction arrived first, the chart was consulted second, and the level was found and marked third. The structural read was wrong — the double top failed, and Bitcoin went on to make higher highs in July 2025. The exit was right anyway. Both facts are in the record and neither has been edited out.</w:t>
      </w:r>
    </w:p>
    <w:p>
      <w:pPr>
        <w:keepNext/>
        <w:keepLines/>
        <w:spacing w:after="20" w:before="760"/>
        <w:jc w:val="center"/>
      </w:pPr>
      <w:r>
        <w:rPr>
          <w:b/>
          <w:bCs/>
          <w:i w:val="false"/>
          <w:iCs w:val="false"/>
          <w:sz w:val="28"/>
          <w:szCs w:val="28"/>
          <w:rtl w:val="false"/>
        </w:rPr>
        <w:t>The exit was early relative to the peak and better than every point since</w:t>
      </w:r>
    </w:p>
    <w:p>
      <w:pPr>
        <w:jc w:val="center"/>
      </w:pPr>
      <w:r>
        <w:rPr>
          <w:b w:val="false"/>
          <w:bCs w:val="false"/>
          <w:i w:val="false"/>
          <w:iCs w:val="false"/>
          <w:sz w:val="22"/>
          <w:szCs w:val="22"/>
          <w:rtl w:val="false"/>
        </w:rPr>
        <w:t>Bitcoin made its highs after 10 May 2025, then fell to near sixty thousand dollars, and the present rally has only recently walked it back toward the level at which the instruction was given. Judging an exit against the absolute high judges it against a single bar visible only in hindsight. The usable measure is what percentage of days since 10 May 2025 Bitcoin has traded above the exit price. Counted off the chart: approximately 169 days of 478 — about 35 percent. It has therefore traded BELOW the exit price on roughly sixty-five percent of days since the instruction was given.</w:t>
      </w:r>
    </w:p>
    <w:p>
      <w:pPr>
        <w:jc w:val="center"/>
      </w:pPr>
      <w:r>
        <w:rPr>
          <w:b w:val="false"/>
          <w:bCs w:val="false"/>
          <w:i w:val="false"/>
          <w:iCs w:val="false"/>
          <w:sz w:val="22"/>
          <w:szCs w:val="22"/>
          <w:rtl w:val="false"/>
        </w:rPr>
        <w:t>The dollar scorecard, both halves. Bitcoin was $105,000 on 10 May 2025 and around $74,500 today: the exit is ahead by twenty-nine percent. Measured against the all-time high of $126,198 in early October 2025, it forfeited 20.2 percent of upside. Gave up twenty at the peak; ahead twenty-nine now. Both figures belong in the record and neither is the interesting one.</w:t>
      </w:r>
    </w:p>
    <w:p>
      <w:pPr>
        <w:jc w:val="center"/>
      </w:pPr>
      <w:r>
        <w:rPr>
          <w:b w:val="false"/>
          <w:bCs w:val="false"/>
          <w:i w:val="false"/>
          <w:iCs w:val="false"/>
          <w:sz w:val="22"/>
          <w:szCs w:val="22"/>
          <w:rtl w:val="false"/>
        </w:rPr>
        <w:t>Because the exit is the smaller half of the decision, and the record has until now credited only the exit. The capital was not moved to cash. It was moved to Monero, which was $330 on the same day and $546.96 at the end of August 2026 — a gain of 65.8 percent while Bitcoin fell 29 percent. The switch is 2.34 times, or about 134 percent of relative outperformance, in 478 days. In money: one hundred thousand dollars held in Bitcoin is now $70,952; switched to Monero it is $165,745. The exit avoided twenty-nine percent. The redeployment captured sixty-six. The redeployment did more than twice the work, and the sell call has been taking the credit that the buy call earned.</w:t>
      </w:r>
    </w:p>
    <w:p>
      <w:pPr>
        <w:jc w:val="center"/>
      </w:pPr>
      <w:r>
        <w:rPr>
          <w:b w:val="false"/>
          <w:bCs w:val="false"/>
          <w:i w:val="false"/>
          <w:iCs w:val="false"/>
          <w:sz w:val="22"/>
          <w:szCs w:val="22"/>
          <w:rtl w:val="false"/>
        </w:rPr>
        <w:t>The honest frame, since the discipline requires it: 478 days is 1.31 years, so roughly ninety percent annualised relative. That is one trade, not a track record. And the limitation stated elsewhere in this document applies in full — these are one macro reading expressed across several instruments, not several independent calls.</w:t>
      </w:r>
    </w:p>
    <w:p>
      <w:pPr>
        <w:keepNext/>
        <w:keepLines/>
        <w:spacing w:after="20" w:before="760"/>
        <w:jc w:val="center"/>
      </w:pPr>
      <w:r>
        <w:rPr>
          <w:b/>
          <w:bCs/>
          <w:i w:val="false"/>
          <w:iCs w:val="false"/>
          <w:sz w:val="28"/>
          <w:szCs w:val="28"/>
          <w:rtl w:val="false"/>
        </w:rPr>
        <w:t>25 May 2025 — the thesis, entire, in public</w:t>
      </w:r>
    </w:p>
    <w:p>
      <w:pPr>
        <w:jc w:val="center"/>
      </w:pPr>
      <w:r>
        <w:rPr>
          <w:b w:val="false"/>
          <w:bCs w:val="false"/>
          <w:i w:val="false"/>
          <w:iCs w:val="false"/>
          <w:sz w:val="22"/>
          <w:szCs w:val="22"/>
          <w:rtl w:val="false"/>
        </w:rPr>
        <w:t>Fifteen days after the close, and this is the correction that matters most to the dated record. “BTC has recently made new nominal ATH's priced in USD. And yet, Bitcoin has yet to make new all time highs against Gold, Silver, EUR, GBP, JPY, CHF, AUD and so forth.. Nor have shares in MSTR made a new ATH. This is called Divergence. Divergence is a very powerful market signal. You can confirm the factuality of the above for yourself. Now Let's think about what a new ATH high (In USD only) has accomplished : Major Headlines, Reddit cheerleading, Prideful You-tube videos, A Dangerous sense of security that further highs are all but assured.”</w:t>
      </w:r>
    </w:p>
    <w:p>
      <w:pPr>
        <w:jc w:val="center"/>
      </w:pPr>
      <w:r>
        <w:rPr>
          <w:b w:val="false"/>
          <w:bCs w:val="false"/>
          <w:i w:val="false"/>
          <w:iCs w:val="false"/>
          <w:sz w:val="22"/>
          <w:szCs w:val="22"/>
          <w:rtl w:val="false"/>
        </w:rPr>
        <w:t>“BTC has it's problems And They're Serious. Bitcoin is at risk of being completely captured, being censored and spammed. Mining is unprofitable due to low transaction fees, is heavily centralised and has perverse incentives to spam the blockchain. The 21 million supply cap is potentially at risk due to Centralisation. Michael Saylor discourages BTC being used as a medium of exchange, as does the ‘HODL’ mentality. Saylor has also created an enormous honeypot (MSTR), publicly mapping out under what conditions the market could smash it open. Bitcoin has lost it's way.” BTC/GOLD and BTC/SILVER charts were posted with it, plus a microStrategy chart on three-day bars published the same evening: O 413.20 H 426.32 L 367.31 C 369.51, down 8.24%.</w:t>
      </w:r>
    </w:p>
    <w:p>
      <w:pPr>
        <w:jc w:val="center"/>
      </w:pPr>
      <w:r>
        <w:rPr>
          <w:b w:val="false"/>
          <w:bCs w:val="false"/>
          <w:i w:val="false"/>
          <w:iCs w:val="false"/>
          <w:sz w:val="22"/>
          <w:szCs w:val="22"/>
          <w:rtl w:val="false"/>
        </w:rPr>
        <w:t>Three consequences for this document. The divergence falsifier — no new high against the hard measures while the dollar chart makes one — is dated May 2025, not 2026. The bull-trap scenario recorded here as 17 June 2026 is stated thirteen months earlier. And the perverse-incentive-to-spam mechanism is named on 25 May 2025 — one month before Core merged the OP_RETURN change and five months before Core 30 took effect on 30 October 2025. The claim is not that the specific resolution was predicted; it is that the pressure and its direction were named in public, dated, before the code shipped. The levered-proxy argument is the author's from the same post, not a later refinement.</w:t>
      </w:r>
    </w:p>
    <w:p>
      <w:pPr>
        <w:keepNext/>
        <w:keepLines/>
        <w:spacing w:after="20" w:before="760"/>
        <w:jc w:val="center"/>
      </w:pPr>
      <w:r>
        <w:rPr>
          <w:b/>
          <w:bCs/>
          <w:i w:val="false"/>
          <w:iCs w:val="false"/>
          <w:sz w:val="28"/>
          <w:szCs w:val="28"/>
          <w:rtl w:val="false"/>
        </w:rPr>
        <w:t>What this section does not establish</w:t>
      </w:r>
    </w:p>
    <w:p>
      <w:pPr>
        <w:jc w:val="center"/>
      </w:pPr>
      <w:r>
        <w:rPr>
          <w:b w:val="false"/>
          <w:bCs w:val="false"/>
          <w:i w:val="false"/>
          <w:iCs w:val="false"/>
          <w:sz w:val="22"/>
          <w:szCs w:val="22"/>
          <w:rtl w:val="false"/>
        </w:rPr>
        <w:t>One completed round trip is one instance. The calls are not independent of each other — they are one macro reading expressed across several instruments, so they support the thesis without independently verifying the forecaster. The author's own diagnosis stands beside the record: he is systematically early, correct in direction and premature in timing. On a directional call with no deadline that trait cost nothing here, because the tail forfeited was subsequently retraced. On a timing-dependent claim it would cost a great deal, which is why the windows in Section IX are set wide.</w:t>
      </w:r>
    </w:p>
    <w:p>
      <w:pPr>
        <w:keepNext/>
        <w:keepLines/>
        <w:spacing w:after="240" w:before="760"/>
        <w:jc w:val="center"/>
      </w:pPr>
      <w:r>
        <w:rPr>
          <w:b/>
          <w:bCs/>
          <w:i w:val="false"/>
          <w:iCs w:val="false"/>
          <w:sz w:val="36"/>
          <w:szCs w:val="36"/>
          <w:rtl w:val="false"/>
        </w:rPr>
        <w:t>III · The argument, in its tightest form</w:t>
      </w:r>
    </w:p>
    <w:p>
      <w:pPr>
        <w:keepNext/>
        <w:keepLines/>
        <w:spacing w:after="240" w:before="760"/>
        <w:jc w:val="center"/>
      </w:pPr>
      <w:r>
        <w:rPr>
          <w:b/>
          <w:bCs/>
          <w:i w:val="false"/>
          <w:iCs w:val="false"/>
          <w:sz w:val="36"/>
          <w:szCs w:val="36"/>
          <w:rtl w:val="false"/>
        </w:rPr>
        <w:t>The core cracked itself</w:t>
      </w:r>
    </w:p>
    <w:p>
      <w:pPr>
        <w:keepNext/>
        <w:keepLines/>
        <w:spacing w:after="240" w:before="760"/>
        <w:jc w:val="center"/>
      </w:pPr>
      <w:r>
        <w:rPr>
          <w:b/>
          <w:bCs/>
          <w:i w:val="false"/>
          <w:iCs w:val="false"/>
          <w:sz w:val="36"/>
          <w:szCs w:val="36"/>
          <w:rtl w:val="false"/>
        </w:rPr>
        <w:t>Every external threat to Bitcoin has been survivable and most have been survived. Exchanges have been emptied, bridges drained, wallets compromised, and state-directed groups have taken sums in the billions — and none of it touched the protocol. The core has never been broken. The perimeter has been broken constantly.</w:t>
      </w:r>
    </w:p>
    <w:p>
      <w:pPr>
        <w:keepNext/>
        <w:keepLines/>
        <w:spacing w:after="240" w:before="760"/>
        <w:jc w:val="center"/>
      </w:pPr>
      <w:r>
        <w:rPr>
          <w:b/>
          <w:bCs/>
          <w:i w:val="false"/>
          <w:iCs w:val="false"/>
          <w:sz w:val="36"/>
          <w:szCs w:val="36"/>
          <w:rtl w:val="false"/>
        </w:rPr>
        <w:t>The thesis in this document requires none of that. Nothing here depends on an attacker, a breach, or a hostile state. The chain did the thing to itself, by consent, in a merge request. Nobody was compromised; the cap came off because the community voted to take it off, and the majority of nodes upgraded to software that permitted it. An attacker has to get in. This walked through the front door with the maintainers holding it open.</w:t>
      </w:r>
    </w:p>
    <w:p>
      <w:pPr>
        <w:keepNext/>
        <w:keepLines/>
        <w:spacing w:after="240" w:before="760"/>
        <w:jc w:val="center"/>
      </w:pPr>
      <w:r>
        <w:rPr>
          <w:b/>
          <w:bCs/>
          <w:i w:val="false"/>
          <w:iCs w:val="false"/>
          <w:sz w:val="36"/>
          <w:szCs w:val="36"/>
          <w:rtl w:val="false"/>
        </w:rPr>
        <w:t>And that is why immutability is the trap rather than the shield. An external attack can be reversed, patched or rolled back. Self-inflicted content on an immutable ledger cannot be removed without destroying the property that made the ledger worth having. A breach has a remedy. This does not, by design.</w:t>
      </w:r>
    </w:p>
    <w:p>
      <w:pPr>
        <w:keepNext/>
        <w:keepLines/>
        <w:spacing w:after="20" w:before="760"/>
        <w:jc w:val="center"/>
      </w:pPr>
      <w:r>
        <w:rPr>
          <w:b/>
          <w:bCs/>
          <w:i w:val="false"/>
          <w:iCs w:val="false"/>
          <w:sz w:val="28"/>
          <w:szCs w:val="28"/>
          <w:rtl w:val="false"/>
        </w:rPr>
        <w:t>The content case, and the trap inside it</w:t>
      </w:r>
    </w:p>
    <w:p>
      <w:pPr>
        <w:jc w:val="center"/>
      </w:pPr>
      <w:r>
        <w:rPr>
          <w:b w:val="false"/>
          <w:bCs w:val="false"/>
          <w:i w:val="false"/>
          <w:iCs w:val="false"/>
          <w:sz w:val="22"/>
          <w:szCs w:val="22"/>
          <w:rtl w:val="false"/>
        </w:rPr>
        <w:t>The chain carries material that cannot be removed. Fixing it requires breaking immutability, which is the principal argument for the asset. That is not a prediction — it is a fact about the design, and it is why the position cannot be cleanly defended from inside whatever happens next.</w:t>
      </w:r>
    </w:p>
    <w:p>
      <w:pPr>
        <w:keepNext/>
        <w:keepLines/>
        <w:spacing w:after="20" w:before="760"/>
        <w:jc w:val="center"/>
      </w:pPr>
      <w:r>
        <w:rPr>
          <w:b/>
          <w:bCs/>
          <w:i w:val="false"/>
          <w:iCs w:val="false"/>
          <w:sz w:val="28"/>
          <w:szCs w:val="28"/>
          <w:rtl w:val="false"/>
        </w:rPr>
        <w:t>The fee-market point</w:t>
      </w:r>
    </w:p>
    <w:p>
      <w:pPr>
        <w:jc w:val="center"/>
      </w:pPr>
      <w:r>
        <w:rPr>
          <w:b w:val="false"/>
          <w:bCs w:val="false"/>
          <w:i w:val="false"/>
          <w:iCs w:val="false"/>
          <w:sz w:val="22"/>
          <w:szCs w:val="22"/>
          <w:rtl w:val="false"/>
        </w:rPr>
        <w:t>Mining and infrastructure have a positive incentive to encourage arbitrary data, because transaction fees are what secure the network as the block subsidy shrinks. The economics actively reward the behaviour. The chain fills faster the more the security model depends on fees.</w:t>
      </w:r>
    </w:p>
    <w:p>
      <w:pPr>
        <w:keepNext/>
        <w:keepLines/>
        <w:spacing w:after="20" w:before="760"/>
        <w:jc w:val="center"/>
      </w:pPr>
      <w:r>
        <w:rPr>
          <w:b/>
          <w:bCs/>
          <w:i w:val="false"/>
          <w:iCs w:val="false"/>
          <w:sz w:val="28"/>
          <w:szCs w:val="28"/>
          <w:rtl w:val="false"/>
        </w:rPr>
        <w:t>The hodl paradox</w:t>
      </w:r>
    </w:p>
    <w:p>
      <w:pPr>
        <w:jc w:val="center"/>
      </w:pPr>
      <w:r>
        <w:rPr>
          <w:b w:val="false"/>
          <w:bCs w:val="false"/>
          <w:i w:val="false"/>
          <w:iCs w:val="false"/>
          <w:sz w:val="22"/>
          <w:szCs w:val="22"/>
          <w:rtl w:val="false"/>
        </w:rPr>
        <w:t>The culture is buy-and-never-spend, so nobody transacts, so fees stay thin — but fees must secure the network as the subsidy falls. That creates pressure for non-monetary transaction demand, which is exactly what opening OP_RETURN supplies. The material is not an accident that befell the chain. It is the solution to a problem the culture created.</w:t>
      </w:r>
    </w:p>
    <w:p>
      <w:pPr>
        <w:keepNext/>
        <w:keepLines/>
        <w:spacing w:after="20" w:before="760"/>
        <w:jc w:val="center"/>
      </w:pPr>
      <w:r>
        <w:rPr>
          <w:b/>
          <w:bCs/>
          <w:i w:val="false"/>
          <w:iCs w:val="false"/>
          <w:sz w:val="28"/>
          <w:szCs w:val="28"/>
          <w:rtl w:val="false"/>
        </w:rPr>
        <w:t>The orthodoxy is the exposure</w:t>
      </w:r>
    </w:p>
    <w:p>
      <w:pPr>
        <w:jc w:val="center"/>
      </w:pPr>
      <w:r>
        <w:rPr>
          <w:b w:val="false"/>
          <w:bCs w:val="false"/>
          <w:i w:val="false"/>
          <w:iCs w:val="false"/>
          <w:sz w:val="22"/>
          <w:szCs w:val="22"/>
          <w:rtl w:val="false"/>
        </w:rPr>
        <w:t>The two defining tenets of maximalism are self-custody and running a full node. Both are now the compromised practices — node operators store the chain including its content, and self-custody has been undermined by thefts driving holders back to exchanges. The more orthodox the practice, the greater the exposure. An internal contradiction rather than an external attack.</w:t>
      </w:r>
    </w:p>
    <w:p>
      <w:pPr>
        <w:keepNext/>
        <w:keepLines/>
        <w:spacing w:after="20" w:before="760"/>
        <w:jc w:val="center"/>
      </w:pPr>
      <w:r>
        <w:rPr>
          <w:b/>
          <w:bCs/>
          <w:i w:val="false"/>
          <w:iCs w:val="false"/>
          <w:sz w:val="28"/>
          <w:szCs w:val="28"/>
          <w:rtl w:val="false"/>
        </w:rPr>
        <w:t>The revealed-preference test</w:t>
      </w:r>
    </w:p>
    <w:p>
      <w:pPr>
        <w:jc w:val="center"/>
      </w:pPr>
      <w:r>
        <w:rPr>
          <w:b w:val="false"/>
          <w:bCs w:val="false"/>
          <w:i w:val="false"/>
          <w:iCs w:val="false"/>
          <w:sz w:val="22"/>
          <w:szCs w:val="22"/>
          <w:rtl w:val="false"/>
        </w:rPr>
        <w:t>Holders are moving coins from cold storage onto exchanges because of wallet thefts. If the ethos were the load-bearing reason for holding, losing safe self-custody would be a reason to sell. Instead they kept the asset and abandoned the property. The property was never what they were there for.</w:t>
      </w:r>
    </w:p>
    <w:p>
      <w:pPr>
        <w:keepNext/>
        <w:keepLines/>
        <w:spacing w:after="20" w:before="760"/>
        <w:jc w:val="center"/>
      </w:pPr>
      <w:r>
        <w:rPr>
          <w:b/>
          <w:bCs/>
          <w:i w:val="false"/>
          <w:iCs w:val="false"/>
          <w:sz w:val="28"/>
          <w:szCs w:val="28"/>
          <w:rtl w:val="false"/>
        </w:rPr>
        <w:t>The change of constituency</w:t>
      </w:r>
    </w:p>
    <w:p>
      <w:pPr>
        <w:jc w:val="center"/>
      </w:pPr>
      <w:r>
        <w:rPr>
          <w:b w:val="false"/>
          <w:bCs w:val="false"/>
          <w:i w:val="false"/>
          <w:iCs w:val="false"/>
          <w:sz w:val="22"/>
          <w:szCs w:val="22"/>
          <w:rtl w:val="false"/>
        </w:rPr>
        <w:t>The tipping point is not the existing market suddenly caring about something it has ignored. It is new eyes with a different mandate — fiduciaries, compliance functions, auditors, running diligence on a reserve asset. They examine what nobody in the asset has previously examined.</w:t>
      </w:r>
    </w:p>
    <w:p>
      <w:pPr>
        <w:keepNext/>
        <w:keepLines/>
        <w:spacing w:after="240" w:before="760"/>
        <w:jc w:val="center"/>
      </w:pPr>
      <w:r>
        <w:rPr>
          <w:b/>
          <w:bCs/>
          <w:i w:val="false"/>
          <w:iCs w:val="false"/>
          <w:sz w:val="36"/>
          <w:szCs w:val="36"/>
          <w:rtl w:val="false"/>
        </w:rPr>
        <w:t>IV · The mechanism, corrected 26 August 2026</w:t>
      </w:r>
    </w:p>
    <w:p>
      <w:pPr>
        <w:jc w:val="center"/>
      </w:pPr>
      <w:r>
        <w:rPr>
          <w:b w:val="false"/>
          <w:bCs w:val="false"/>
          <w:i w:val="false"/>
          <w:iCs w:val="false"/>
          <w:sz w:val="22"/>
          <w:szCs w:val="22"/>
          <w:rtl w:val="false"/>
        </w:rPr>
        <w:t>This is a salience thesis, not a density thesis. The named mechanism is the law of contagion — Rozin and Nemeroff. A perceived contaminant transfers by contact, does not dilute with distance, time or quantity, and is largely irreversible.</w:t>
      </w:r>
    </w:p>
    <w:p>
      <w:pPr>
        <w:jc w:val="center"/>
      </w:pPr>
      <w:r>
        <w:rPr>
          <w:b w:val="false"/>
          <w:bCs w:val="false"/>
          <w:i w:val="false"/>
          <w:iCs w:val="false"/>
          <w:sz w:val="22"/>
          <w:szCs w:val="22"/>
          <w:rtl w:val="false"/>
        </w:rPr>
        <w:t>The consequence costs an argument that was being used. Because contagion is dose-insensitive, “more material every day since the caps came off” does no work on whether the reflex fires. The trigger condition was met years ago. The whole question relocates onto why it has not fired yet — and the answer is salience, not volume.</w:t>
      </w:r>
    </w:p>
    <w:p>
      <w:pPr>
        <w:jc w:val="center"/>
      </w:pPr>
      <w:r>
        <w:rPr>
          <w:b w:val="false"/>
          <w:bCs w:val="false"/>
          <w:i w:val="false"/>
          <w:iCs w:val="false"/>
          <w:sz w:val="22"/>
          <w:szCs w:val="22"/>
          <w:rtl w:val="false"/>
        </w:rPr>
        <w:t>The evidence, and it is measured rather than asserted: On SAINt jhn’s Collection one, the track “Traci Lords” carries about 283,000 plays where the other seven run between 2.5 and 12 million. Roughly thirty-five times below the adjacent track. Both mechanical explanations are dead: It is not a deep cut, since the more explicit “Brilliant Bitch” sits one position later with 35x the plays; and it was not pulled and re-uploaded, the upload date being identical across eight years. The association is four steps removed — a love song about a woman who was the victim, written forty years later by a man who was not there — and it still cost 35x. That is a prior on how contamination travels when the association is direct.</w:t>
      </w:r>
    </w:p>
    <w:p>
      <w:pPr>
        <w:jc w:val="center"/>
      </w:pPr>
      <w:r>
        <w:rPr>
          <w:b w:val="false"/>
          <w:bCs w:val="false"/>
          <w:i w:val="false"/>
          <w:iCs w:val="false"/>
          <w:sz w:val="22"/>
          <w:szCs w:val="22"/>
          <w:rtl w:val="false"/>
        </w:rPr>
        <w:t>Where it does not reach, and this was conceded: Aversion scales inversely with switching cost. Skipping a track is free. Holders face a priced exit. So consumer-scale recoil does not transfer straight across to holder behaviour. The version that survives is the institutional one — for a custodian or a fiduciary the question is not “do I want this” but “what is my exposure”, which is binary and indifferent to liquidity.</w:t>
      </w:r>
    </w:p>
    <w:p>
      <w:pPr>
        <w:jc w:val="center"/>
      </w:pPr>
      <w:r>
        <w:rPr>
          <w:b w:val="false"/>
          <w:bCs w:val="false"/>
          <w:i w:val="false"/>
          <w:iCs w:val="false"/>
          <w:sz w:val="22"/>
          <w:szCs w:val="22"/>
          <w:rtl w:val="false"/>
        </w:rPr>
        <w:t>And the recoil will not come from the public. Disgust alone has a poor record of moving capital; institutions have absorbed association with terrible things repeatedly. What predicts refusal is personal legal exposure to identifiable decision-makers. The trigger to watch is not a public mood. It is the first general counsel who says no.</w:t>
      </w:r>
    </w:p>
    <w:p>
      <w:pPr>
        <w:keepNext/>
        <w:keepLines/>
        <w:spacing w:after="240" w:before="760"/>
        <w:jc w:val="center"/>
      </w:pPr>
      <w:r>
        <w:rPr>
          <w:b/>
          <w:bCs/>
          <w:i w:val="false"/>
          <w:iCs w:val="false"/>
          <w:sz w:val="36"/>
          <w:szCs w:val="36"/>
          <w:rtl w:val="false"/>
        </w:rPr>
        <w:t>IV‹b› · The second path: custody, added 31 August 2026</w:t>
      </w:r>
    </w:p>
    <w:p>
      <w:pPr>
        <w:jc w:val="center"/>
      </w:pPr>
      <w:r>
        <w:rPr>
          <w:b w:val="false"/>
          <w:bCs w:val="false"/>
          <w:i w:val="false"/>
          <w:iCs w:val="false"/>
          <w:sz w:val="22"/>
          <w:szCs w:val="22"/>
          <w:rtl w:val="false"/>
        </w:rPr>
        <w:t>The argument above runs through salience. This one does not depend on it. The two paths reach the same destination by different roads, and neither requires the other.</w:t>
      </w:r>
    </w:p>
    <w:p>
      <w:pPr>
        <w:keepNext/>
        <w:keepLines/>
        <w:spacing w:after="20" w:before="760"/>
        <w:jc w:val="center"/>
      </w:pPr>
      <w:r>
        <w:rPr>
          <w:b/>
          <w:bCs/>
          <w:i w:val="false"/>
          <w:iCs w:val="false"/>
          <w:sz w:val="28"/>
          <w:szCs w:val="28"/>
          <w:rtl w:val="false"/>
        </w:rPr>
        <w:t>What happened</w:t>
      </w:r>
    </w:p>
    <w:p>
      <w:pPr>
        <w:jc w:val="center"/>
      </w:pPr>
      <w:r>
        <w:rPr>
          <w:b w:val="false"/>
          <w:bCs w:val="false"/>
          <w:i w:val="false"/>
          <w:iCs w:val="false"/>
          <w:sz w:val="22"/>
          <w:szCs w:val="22"/>
          <w:rtl w:val="false"/>
        </w:rPr>
        <w:t>A firmware build error introduced to Coldcard in March 2021 routed wallet seed generation to a software pseudo-random generator instead of the device's hardware RNG. Effective entropy fell from 128 bits to roughly 40 on the Mk3 and about 72 on the Mk4, Mk5 and Q. On 30 July 2026 an attacker drained 1,196 addresses in 41 minutes. Across four waves Galaxy Research counted 1,816 BTC from more than 5,200 addresses — between 115 and 130 million dollars, the third-largest crypto theft of the year. The keys were brute-forced without anyone touching the hardware. One victim's account is the whole of it: the seed was never shared, the devices never touched the internet, everything sat in safes and deposit boxes, and none of it mattered. The patch protects only wallets created after it, so every unrotated seed remains a standing target.</w:t>
      </w:r>
    </w:p>
    <w:p>
      <w:pPr>
        <w:keepNext/>
        <w:keepLines/>
        <w:spacing w:after="20" w:before="760"/>
        <w:jc w:val="center"/>
      </w:pPr>
      <w:r>
        <w:rPr>
          <w:b/>
          <w:bCs/>
          <w:i w:val="false"/>
          <w:iCs w:val="false"/>
          <w:sz w:val="28"/>
          <w:szCs w:val="28"/>
          <w:rtl w:val="false"/>
        </w:rPr>
        <w:t>The flow reversed, and it is measured</w:t>
      </w:r>
    </w:p>
    <w:p>
      <w:pPr>
        <w:jc w:val="center"/>
      </w:pPr>
      <w:r>
        <w:rPr>
          <w:b w:val="false"/>
          <w:bCs w:val="false"/>
          <w:i w:val="false"/>
          <w:iCs w:val="false"/>
          <w:sz w:val="22"/>
          <w:szCs w:val="22"/>
          <w:rtl w:val="false"/>
        </w:rPr>
        <w:t>Net transfers from self-custody wallets to exchange addresses have been positive every day since 31 July 2026. OKX reported record inflows and its chief compliance officer said customer behaviour changed noticeably. Roughly 22,000 BTC moved to exchanges in the days around the hack. Cantor advised clients to expect flows to custodians and named the beneficiaries. ARK's director of digital asset research called the self-custodial hardware space a disaster at this point — which is a believer's own house saying it. This reverses the post-FTX flow exactly: FTX drove coins off exchanges into self-custody; Coldcard is driving them back.</w:t>
      </w:r>
    </w:p>
    <w:p>
      <w:pPr>
        <w:keepNext/>
        <w:keepLines/>
        <w:spacing w:after="20" w:before="760"/>
        <w:jc w:val="center"/>
      </w:pPr>
      <w:r>
        <w:rPr>
          <w:b/>
          <w:bCs/>
          <w:i w:val="false"/>
          <w:iCs w:val="false"/>
          <w:sz w:val="28"/>
          <w:szCs w:val="28"/>
          <w:rtl w:val="false"/>
        </w:rPr>
        <w:t>Where the coins now are</w:t>
      </w:r>
    </w:p>
    <w:p>
      <w:pPr>
        <w:jc w:val="center"/>
      </w:pPr>
      <w:r>
        <w:rPr>
          <w:b w:val="false"/>
          <w:bCs w:val="false"/>
          <w:i w:val="false"/>
          <w:iCs w:val="false"/>
          <w:sz w:val="22"/>
          <w:szCs w:val="22"/>
          <w:rtl w:val="false"/>
        </w:rPr>
        <w:t>Gemini and Glassnode count 216 centralised holders controlling more than 6.1 million BTC — over 30% of circulating supply, up 924% from about 600,000 in 2015. Exchanges alone are the largest single category at over 3 million BTC. ETFs hold roughly 1.3 to 1.5 million, blackRock's IBIT alone near 800,000. Public companies hold about 1.24 million, strategy the largest single holder on earth at 843,738. Governments hold 619,000 to 650,000. Coinbase custody holds about 982,000. Corporate buying ran at 2.8 times new mined supply in the first quarter of 2026.</w:t>
      </w:r>
    </w:p>
    <w:p>
      <w:pPr>
        <w:keepNext/>
        <w:keepLines/>
        <w:spacing w:after="20" w:before="760"/>
        <w:jc w:val="center"/>
      </w:pPr>
      <w:r>
        <w:rPr>
          <w:b/>
          <w:bCs/>
          <w:i w:val="false"/>
          <w:iCs w:val="false"/>
          <w:sz w:val="28"/>
          <w:szCs w:val="28"/>
          <w:rtl w:val="false"/>
        </w:rPr>
        <w:t>Why the concentration matters, in three parts</w:t>
      </w:r>
    </w:p>
    <w:p>
      <w:pPr>
        <w:jc w:val="center"/>
      </w:pPr>
      <w:r>
        <w:rPr>
          <w:b w:val="false"/>
          <w:bCs w:val="false"/>
          <w:i w:val="false"/>
          <w:iCs w:val="false"/>
          <w:sz w:val="22"/>
          <w:szCs w:val="22"/>
          <w:rtl w:val="false"/>
        </w:rPr>
        <w:t>First, the failure mode changes shape. Distributed self-custody fails in a trickle — many small uncorrelated losses, no systemic event. Concentrated custody fails all at once. The migration converts a large number of independent small risks into one large correlated one. The defenders made this argument themselves: Casa's chief executive noted that the attacker had to crack addresses one at a time while the rest of the network had time to react, and that if the same bitcoin had been held at a custodian and the custodian breached, the numbers would have been flipped.</w:t>
      </w:r>
    </w:p>
    <w:p>
      <w:pPr>
        <w:jc w:val="center"/>
      </w:pPr>
      <w:r>
        <w:rPr>
          <w:b w:val="false"/>
          <w:bCs w:val="false"/>
          <w:i w:val="false"/>
          <w:iCs w:val="false"/>
          <w:sz w:val="22"/>
          <w:szCs w:val="22"/>
          <w:rtl w:val="false"/>
        </w:rPr>
        <w:t>Second, and this compounds the first path rather than merely sitting beside it: coins in cold storage require a device, a passphrase and a decision. Coins on an exchange require one tap. The custody migration did not only concentrate the risk — it pre-positioned the supply for the panic. The second path loads what the first path fires, and it needs no exchange to fail at all. The measure is public: the share of supply that is one instruction from sale, rising daily since 31 July.</w:t>
      </w:r>
    </w:p>
    <w:p>
      <w:pPr>
        <w:jc w:val="center"/>
      </w:pPr>
      <w:r>
        <w:rPr>
          <w:b w:val="false"/>
          <w:bCs w:val="false"/>
          <w:i w:val="false"/>
          <w:iCs w:val="false"/>
          <w:sz w:val="22"/>
          <w:szCs w:val="22"/>
          <w:rtl w:val="false"/>
        </w:rPr>
        <w:t>Third, the concentration is a legal surface and not only a market one. If possession of the chain ever becomes a live question, there are now roughly 216 identifiable entities with counsel, rather than millions of anonymous holders. The property that made Bitcoin hard to attack was that there was nobody to serve papers on. There is now a list.</w:t>
      </w:r>
    </w:p>
    <w:p>
      <w:pPr>
        <w:keepNext/>
        <w:keepLines/>
        <w:spacing w:after="20" w:before="760"/>
        <w:jc w:val="center"/>
      </w:pPr>
      <w:r>
        <w:rPr>
          <w:b/>
          <w:bCs/>
          <w:i w:val="false"/>
          <w:iCs w:val="false"/>
          <w:sz w:val="28"/>
          <w:szCs w:val="28"/>
          <w:rtl w:val="false"/>
        </w:rPr>
        <w:t>And the escalating bounty</w:t>
      </w:r>
    </w:p>
    <w:p>
      <w:pPr>
        <w:jc w:val="center"/>
      </w:pPr>
      <w:r>
        <w:rPr>
          <w:b w:val="false"/>
          <w:bCs w:val="false"/>
          <w:i w:val="false"/>
          <w:iCs w:val="false"/>
          <w:sz w:val="22"/>
          <w:szCs w:val="22"/>
          <w:rtl w:val="false"/>
        </w:rPr>
        <w:t>Every unrotated seed is a known-weak key at a known address, and the payoff to cracking it scales one for one with price. A wallet not worth the compute at sixty thousand dollars is worth it at a hundred, and worth it twice over at two hundred. Galaxy warned that every vulnerable device will eventually be emptied. So the rally itself raises the reward on every exposed wallet — a mechanism by which rising price makes the asset less safe rather than more.</w:t>
      </w:r>
    </w:p>
    <w:p>
      <w:pPr>
        <w:keepNext/>
        <w:keepLines/>
        <w:spacing w:after="20" w:before="760"/>
        <w:jc w:val="center"/>
      </w:pPr>
      <w:r>
        <w:rPr>
          <w:b/>
          <w:bCs/>
          <w:i w:val="false"/>
          <w:iCs w:val="false"/>
          <w:sz w:val="28"/>
          <w:szCs w:val="28"/>
          <w:rtl w:val="false"/>
        </w:rPr>
        <w:t>What the white paper promised</w:t>
      </w:r>
    </w:p>
    <w:p>
      <w:pPr>
        <w:jc w:val="center"/>
      </w:pPr>
      <w:r>
        <w:rPr>
          <w:b w:val="false"/>
          <w:bCs w:val="false"/>
          <w:i w:val="false"/>
          <w:iCs w:val="false"/>
          <w:sz w:val="22"/>
          <w:szCs w:val="22"/>
          <w:rtl w:val="false"/>
        </w:rPr>
        <w:t>The 2008 paper is titled Bitcoin: A Peer-to-Peer electronic cash system. Coins moving to exchanges ends peer-to-peer. Hodl culture and the fee market ended cash. And the fees that discourage spending are now justified by arbitrary data, because nobody spends it. Three of the four words in the title no longer describe the thing.</w:t>
      </w:r>
    </w:p>
    <w:p>
      <w:pPr>
        <w:keepNext/>
        <w:keepLines/>
        <w:spacing w:after="20" w:before="760"/>
        <w:jc w:val="center"/>
      </w:pPr>
      <w:r>
        <w:rPr>
          <w:b/>
          <w:bCs/>
          <w:i w:val="false"/>
          <w:iCs w:val="false"/>
          <w:sz w:val="28"/>
          <w:szCs w:val="28"/>
          <w:rtl w:val="false"/>
        </w:rPr>
        <w:t>The Monero inversion</w:t>
      </w:r>
    </w:p>
    <w:p>
      <w:pPr>
        <w:jc w:val="center"/>
      </w:pPr>
      <w:r>
        <w:rPr>
          <w:b w:val="false"/>
          <w:bCs w:val="false"/>
          <w:i w:val="false"/>
          <w:iCs w:val="false"/>
          <w:sz w:val="22"/>
          <w:szCs w:val="22"/>
          <w:rtl w:val="false"/>
        </w:rPr>
        <w:t>The same period ran the other way for Monero, and the coercion in each case came from the thing that was supposed to be fatal. Bitcoin's holders were driven to exchanges by a failure of self-custody. Monero's were driven from exchanges by regulation. The delistings, read as weakness, removed the honeypot vector years ago — and more than that, they selected the holder base. Everyone who wanted convenience left. What remains chose it knowing it was inconvenient, so the weak hands were washed out by regulation rather than by price. Three honest counters are carried with it: Monero's exchange balances cannot be observed either, so its distribution is an inference from the delistings rather than a measurement; custodial swap services still exist, so it is less concentrated rather than unconcentrated; and thin liquidity cuts both ways in a flush, which is the mechanism behind the drawdown this thesis already predicts for it.</w:t>
      </w:r>
    </w:p>
    <w:p>
      <w:pPr>
        <w:keepNext/>
        <w:keepLines/>
        <w:spacing w:after="240" w:before="760"/>
        <w:jc w:val="center"/>
      </w:pPr>
      <w:r>
        <w:rPr>
          <w:b/>
          <w:bCs/>
          <w:i w:val="false"/>
          <w:iCs w:val="false"/>
          <w:sz w:val="36"/>
          <w:szCs w:val="36"/>
          <w:rtl w:val="false"/>
        </w:rPr>
        <w:t>V · The Monero leg</w:t>
      </w:r>
    </w:p>
    <w:p>
      <w:pPr>
        <w:jc w:val="center"/>
      </w:pPr>
      <w:r>
        <w:rPr>
          <w:b w:val="false"/>
          <w:bCs w:val="false"/>
          <w:i w:val="false"/>
          <w:iCs w:val="false"/>
          <w:sz w:val="22"/>
          <w:szCs w:val="22"/>
          <w:rtl w:val="false"/>
        </w:rPr>
        <w:t>Monero never did the thing. Bitcoin is the thing — the chain holds the material. Monero is associated by category and nothing else. The correct analogy is the adult industry in 1986: Hurt badly by association when the news broke, structurally distinguishable from the offence, and it came back.</w:t>
      </w:r>
    </w:p>
    <w:p>
      <w:pPr>
        <w:jc w:val="center"/>
      </w:pPr>
      <w:r>
        <w:rPr>
          <w:b w:val="false"/>
          <w:bCs w:val="false"/>
          <w:i w:val="false"/>
          <w:iCs w:val="false"/>
          <w:sz w:val="22"/>
          <w:szCs w:val="22"/>
          <w:rtl w:val="false"/>
        </w:rPr>
        <w:t>And it did not come back by waiting for public mood to soften. It came back by becoming checkable — the record-keeping regime that followed existed to make age verifiable and auditable. Re-categorisation runs through a verifiable standard. Monero already has one built in: It cannot store arbitrary data at all, and that is confirmable from the protocol rather than taken on trust. It does not need to adopt a standard. The protocol is the standard.</w:t>
      </w:r>
    </w:p>
    <w:p>
      <w:pPr>
        <w:jc w:val="center"/>
      </w:pPr>
      <w:r>
        <w:rPr>
          <w:b w:val="false"/>
          <w:bCs w:val="false"/>
          <w:i w:val="false"/>
          <w:iCs w:val="false"/>
          <w:sz w:val="22"/>
          <w:szCs w:val="22"/>
          <w:rtl w:val="false"/>
        </w:rPr>
        <w:t>The structural test, better than any ratio: Monero takes its hit from a higher high and makes a higher low, while Bitcoin fails a new all-time high and bleeds. That is readable in the swing structure itself, and it shows up before any narrative resolution — the divorce is visible in the price shape without waiting for the market to work out why.</w:t>
      </w:r>
    </w:p>
    <w:p>
      <w:pPr>
        <w:jc w:val="center"/>
      </w:pPr>
      <w:r>
        <w:rPr>
          <w:b w:val="false"/>
          <w:bCs w:val="false"/>
          <w:i w:val="false"/>
          <w:iCs w:val="false"/>
          <w:sz w:val="22"/>
          <w:szCs w:val="22"/>
          <w:rtl w:val="false"/>
        </w:rPr>
        <w:t>The volatility point, and it is the best structural argument in the Monero case: Monero has almost no perpetual futures, minimal options depth and no ETF wrapper. There is no leverage stack to unwind. It structurally cannot suffer the kind of liquidation cascade that cleared roughly $3bn of Bitcoin shorts in a single session. The delisting everyone reads as its weakness is precisely what protects it.</w:t>
      </w:r>
    </w:p>
    <w:p>
      <w:pPr>
        <w:keepNext/>
        <w:keepLines/>
        <w:spacing w:after="20" w:before="760"/>
        <w:jc w:val="center"/>
      </w:pPr>
      <w:r>
        <w:rPr>
          <w:b/>
          <w:bCs/>
          <w:i w:val="false"/>
          <w:iCs w:val="false"/>
          <w:sz w:val="28"/>
          <w:szCs w:val="28"/>
          <w:rtl w:val="false"/>
        </w:rPr>
        <w:t>The nearest-substitute test — ZEC/XMR</w:t>
      </w:r>
    </w:p>
    <w:p>
      <w:pPr>
        <w:keepNext/>
        <w:keepLines/>
        <w:spacing w:after="240" w:before="760"/>
        <w:jc w:val="center"/>
      </w:pPr>
      <w:r>
        <w:rPr>
          <w:b/>
          <w:bCs/>
          <w:i w:val="false"/>
          <w:iCs w:val="false"/>
          <w:sz w:val="36"/>
          <w:szCs w:val="36"/>
          <w:rtl w:val="false"/>
        </w:rPr>
        <w:t>Every other denominator in this document measures Monero against something outside its category — a metal, an index, a currency. This one measures it against its nearest substitute, and that is why it belongs here: it strips out the privacy premium entirely and measures execution. If the thesis is that privacy is the surviving property, the strongest available test is against the other coin that has it.</w:t>
      </w:r>
    </w:p>
    <w:p>
      <w:pPr>
        <w:keepNext/>
        <w:keepLines/>
        <w:spacing w:after="240" w:before="760"/>
        <w:jc w:val="center"/>
      </w:pPr>
      <w:r>
        <w:rPr>
          <w:b/>
          <w:bCs/>
          <w:i w:val="false"/>
          <w:iCs w:val="false"/>
          <w:sz w:val="36"/>
          <w:szCs w:val="36"/>
          <w:rtl w:val="false"/>
        </w:rPr>
        <w:t>Zcash total market cap denominated in Monero total market cap, nine-hour candles. The ceiling is 1.86 — the November 2025 high, and a triple top at that level across the chart’s whole existence. Presently 1.48. A close above 1.86 is invalidation; 1.75 is the warning tier and, price being beneath it, functions as a reclaim level. 1.00 is the crossover where Monero overtakes outright. The target is 0.75, the fortune-teller wick of Friday 5 June 2026.</w:t>
      </w:r>
    </w:p>
    <w:p>
      <w:pPr>
        <w:keepNext/>
        <w:keepLines/>
        <w:spacing w:after="240" w:before="760"/>
        <w:jc w:val="center"/>
      </w:pPr>
      <w:r>
        <w:rPr>
          <w:b/>
          <w:bCs/>
          <w:i w:val="false"/>
          <w:iCs w:val="false"/>
          <w:sz w:val="36"/>
          <w:szCs w:val="36"/>
          <w:rtl w:val="false"/>
        </w:rPr>
        <w:t>Two features distinguish it from everything else in this document. It is two-sided: the ceiling is the invalidation and the floor is the target, both pre-registered on one instrument, where every other level here claims a destination in one direction only. And the geometry runs the right way — 25.7% of room to invalidation against 49.3% of move to target, so the stop is nearer than the objective. The flippening has already happened once, in Zcash’s favour, in November 2025. This chart is the record of whether it gets undone.</w:t>
      </w:r>
    </w:p>
    <w:p>
      <w:pPr>
        <w:keepNext/>
        <w:keepLines/>
        <w:spacing w:after="240" w:before="760"/>
        <w:jc w:val="center"/>
      </w:pPr>
      <w:r>
        <w:rPr>
          <w:b/>
          <w:bCs/>
          <w:i w:val="false"/>
          <w:iCs w:val="false"/>
          <w:sz w:val="36"/>
          <w:szCs w:val="36"/>
          <w:rtl w:val="false"/>
        </w:rPr>
        <w:t>VI · The falsifier</w:t>
      </w:r>
    </w:p>
    <w:p>
      <w:pPr>
        <w:jc w:val="center"/>
      </w:pPr>
      <w:r>
        <w:rPr>
          <w:b w:val="false"/>
          <w:bCs w:val="false"/>
          <w:i w:val="false"/>
          <w:iCs w:val="false"/>
          <w:sz w:val="22"/>
          <w:szCs w:val="22"/>
          <w:rtl w:val="false"/>
        </w:rPr>
        <w:t>A Thesis without one is a permanently-early thesis. This one is stated in levels, on a chart, with a date attached.</w:t>
      </w:r>
    </w:p>
    <w:p>
      <w:pPr>
        <w:keepNext/>
        <w:keepLines/>
        <w:spacing w:after="20" w:before="760"/>
        <w:jc w:val="center"/>
      </w:pPr>
      <w:r>
        <w:rPr>
          <w:b/>
          <w:bCs/>
          <w:i w:val="false"/>
          <w:iCs w:val="false"/>
          <w:sz w:val="28"/>
          <w:szCs w:val="28"/>
          <w:rtl w:val="false"/>
        </w:rPr>
        <w:t>The chart</w:t>
      </w:r>
    </w:p>
    <w:p>
      <w:pPr>
        <w:jc w:val="center"/>
      </w:pPr>
      <w:r>
        <w:rPr>
          <w:b w:val="false"/>
          <w:bCs w:val="false"/>
          <w:i w:val="false"/>
          <w:iCs w:val="false"/>
          <w:sz w:val="22"/>
          <w:szCs w:val="22"/>
          <w:rtl w:val="false"/>
        </w:rPr>
        <w:t>Bitcoin total market cap denominated in the NASDAQ 100. Three days per candle. Linear scale, not log — log smooths out the expression of the move, and the un-smoothed chart is the one that shows what actually happened.</w:t>
      </w:r>
    </w:p>
    <w:p>
      <w:pPr>
        <w:keepNext/>
        <w:keepLines/>
        <w:spacing w:after="20" w:before="760"/>
        <w:jc w:val="center"/>
      </w:pPr>
      <w:r>
        <w:rPr>
          <w:b/>
          <w:bCs/>
          <w:i w:val="false"/>
          <w:iCs w:val="false"/>
          <w:sz w:val="28"/>
          <w:szCs w:val="28"/>
          <w:rtl w:val="false"/>
        </w:rPr>
        <w:t>The levels, read 26 August 2026</w:t>
      </w:r>
    </w:p>
    <w:p>
      <w:pPr>
        <w:jc w:val="center"/>
      </w:pPr>
      <w:r>
        <w:rPr>
          <w:b w:val="false"/>
          <w:bCs w:val="false"/>
          <w:i w:val="false"/>
          <w:iCs w:val="false"/>
          <w:sz w:val="22"/>
          <w:szCs w:val="22"/>
          <w:rtl w:val="false"/>
        </w:rPr>
        <w:t>December 2017 peak: 51.76M. March 2021 peak: 89.03M. All-time high 107.1m on the 12 July 2025 bar. Low 38.77M on the 30 June 2026 bar. Presently 53.88M.</w:t>
      </w:r>
    </w:p>
    <w:p>
      <w:pPr>
        <w:jc w:val="center"/>
      </w:pPr>
      <w:r>
        <w:rPr>
          <w:b w:val="false"/>
          <w:bCs w:val="false"/>
          <w:i w:val="false"/>
          <w:iCs w:val="false"/>
          <w:sz w:val="22"/>
          <w:szCs w:val="22"/>
          <w:rtl w:val="false"/>
        </w:rPr>
        <w:t>The line is 88.88m, drawn across the March 2021 peak, where it intersects the neckline of a head and shoulders whose head is the July 2025 all-time high.</w:t>
      </w:r>
    </w:p>
    <w:p>
      <w:pPr>
        <w:keepNext/>
        <w:keepLines/>
        <w:spacing w:after="20" w:before="760"/>
        <w:jc w:val="center"/>
      </w:pPr>
      <w:r>
        <w:rPr>
          <w:b/>
          <w:bCs/>
          <w:i w:val="false"/>
          <w:iCs w:val="false"/>
          <w:sz w:val="28"/>
          <w:szCs w:val="28"/>
          <w:rtl w:val="false"/>
        </w:rPr>
        <w:t>The trigger</w:t>
      </w:r>
    </w:p>
    <w:p>
      <w:pPr>
        <w:jc w:val="center"/>
      </w:pPr>
      <w:r>
        <w:rPr>
          <w:b w:val="false"/>
          <w:bCs w:val="false"/>
          <w:i w:val="false"/>
          <w:iCs w:val="false"/>
          <w:sz w:val="22"/>
          <w:szCs w:val="22"/>
          <w:rtl w:val="false"/>
        </w:rPr>
        <w:t>A Three-day close above 88.88m is warning lights. Above 90m reads as probably heading back toward a new all-time high. The expectation is that the rally runs at the line and fails, completing the pattern.</w:t>
      </w:r>
    </w:p>
    <w:p>
      <w:pPr>
        <w:keepNext/>
        <w:keepLines/>
        <w:spacing w:after="20" w:before="760"/>
        <w:jc w:val="center"/>
      </w:pPr>
      <w:r>
        <w:rPr>
          <w:b/>
          <w:bCs/>
          <w:i w:val="false"/>
          <w:iCs w:val="false"/>
          <w:sz w:val="28"/>
          <w:szCs w:val="28"/>
          <w:rtl w:val="false"/>
        </w:rPr>
        <w:t>Why this chart and not the dollar chart</w:t>
      </w:r>
    </w:p>
    <w:p>
      <w:pPr>
        <w:jc w:val="center"/>
      </w:pPr>
      <w:r>
        <w:rPr>
          <w:b w:val="false"/>
          <w:bCs w:val="false"/>
          <w:i w:val="false"/>
          <w:iCs w:val="false"/>
          <w:sz w:val="22"/>
          <w:szCs w:val="22"/>
          <w:rtl w:val="false"/>
        </w:rPr>
        <w:t>It strips the dollar out. A new nominal high in USD proves nothing — it may only mean the measuring stick shrank. A New high against the NASDAQ is a different claim entirely: Strength against the strongest conventional asset regime rather than against a debasing currency. This is the true tell.</w:t>
      </w:r>
    </w:p>
    <w:p>
      <w:pPr>
        <w:jc w:val="center"/>
      </w:pPr>
      <w:r>
        <w:rPr>
          <w:b w:val="false"/>
          <w:bCs w:val="false"/>
          <w:i w:val="false"/>
          <w:iCs w:val="false"/>
          <w:sz w:val="22"/>
          <w:szCs w:val="22"/>
          <w:rtl w:val="false"/>
        </w:rPr>
        <w:t>And it is 65% away. Far enough that noise cannot reach it, near enough that this move either takes it or does not — So the falsifier also caps the timing, which is exactly what a salience thesis otherwise lacks. A technical failure on a chart nobody trades is also a cleaner signal, because it cannot be gamed.</w:t>
      </w:r>
    </w:p>
    <w:p>
      <w:pPr>
        <w:keepNext/>
        <w:keepLines/>
        <w:spacing w:after="20" w:before="760"/>
        <w:jc w:val="center"/>
      </w:pPr>
      <w:r>
        <w:rPr>
          <w:b/>
          <w:bCs/>
          <w:i w:val="false"/>
          <w:iCs w:val="false"/>
          <w:sz w:val="28"/>
          <w:szCs w:val="28"/>
          <w:rtl w:val="false"/>
        </w:rPr>
        <w:t>The second falsifier — the same thesis on the hard measure</w:t>
      </w:r>
    </w:p>
    <w:p>
      <w:pPr>
        <w:jc w:val="center"/>
      </w:pPr>
      <w:r>
        <w:rPr>
          <w:b w:val="false"/>
          <w:bCs w:val="false"/>
          <w:i w:val="false"/>
          <w:iCs w:val="false"/>
          <w:sz w:val="22"/>
          <w:szCs w:val="22"/>
          <w:rtl w:val="false"/>
        </w:rPr>
        <w:t>Bitcoin total market cap denominated in gold, three days per candle. Read 29 August 2026. The level is 669 million ounces — resistance in April 2021, November 2021 and March 2024, then broken to an all-time high of 806.95M oz on the 12 December 2024 bar with a lower high of 797.61M oz on 19 January 2025. Those two are the head. Left shoulder March 2024, right shoulder late July to mid-August 2025, and 669 cuts the neckline. A waterfall from the 14 August 2025 bar to a low of 243.89M oz on 27 February 2026; presently 348.96M oz.</w:t>
      </w:r>
    </w:p>
    <w:p>
      <w:pPr>
        <w:jc w:val="center"/>
      </w:pPr>
      <w:r>
        <w:rPr>
          <w:b w:val="false"/>
          <w:bCs w:val="false"/>
          <w:i w:val="false"/>
          <w:iCs w:val="false"/>
          <w:sz w:val="22"/>
          <w:szCs w:val="22"/>
          <w:rtl w:val="false"/>
        </w:rPr>
        <w:t>The trigger is the same shape and stricter: no three-day close above 669. A tap or a brief exceedance is expected and permitted; a three-day close above is invalidation. The downside target is the 21 November 2022 low of 161.6M oz, giving the full sequence — up into resistance, fail, then down through the 2022 low.</w:t>
      </w:r>
    </w:p>
    <w:p>
      <w:pPr>
        <w:jc w:val="center"/>
      </w:pPr>
      <w:r>
        <w:rPr>
          <w:b w:val="false"/>
          <w:bCs w:val="false"/>
          <w:i w:val="false"/>
          <w:iCs w:val="false"/>
          <w:sz w:val="22"/>
          <w:szCs w:val="22"/>
          <w:rtl w:val="false"/>
        </w:rPr>
        <w:t>Three points on why two falsifiers rather than one. The Nasdaq level needs +65% and the gold level +91.7%, so the Nasdaq triggers first: it is the leading warning and gold is the confirming one. The ordering also matches the hardness ranking established independently in the Monero register, which is a consistency check across two unrelated bodies of work. And an honest caution the author raised himself: the August 2025 waterfall began before Core 30 took effect on 30 October 2025, so that particular decline predates the uncapping and cannot be attributed to it.</w:t>
      </w:r>
    </w:p>
    <w:p>
      <w:pPr>
        <w:keepNext/>
        <w:keepLines/>
        <w:spacing w:after="240" w:before="760"/>
        <w:jc w:val="center"/>
      </w:pPr>
      <w:r>
        <w:rPr>
          <w:b/>
          <w:bCs/>
          <w:i w:val="false"/>
          <w:iCs w:val="false"/>
          <w:sz w:val="36"/>
          <w:szCs w:val="36"/>
          <w:rtl w:val="false"/>
        </w:rPr>
        <w:t>VII · What cuts against it</w:t>
      </w:r>
    </w:p>
    <w:p>
      <w:pPr>
        <w:keepNext/>
        <w:keepLines/>
        <w:spacing w:after="20" w:before="760"/>
        <w:jc w:val="center"/>
      </w:pPr>
      <w:r>
        <w:rPr>
          <w:b/>
          <w:bCs/>
          <w:i w:val="false"/>
          <w:iCs w:val="false"/>
          <w:sz w:val="28"/>
          <w:szCs w:val="28"/>
          <w:rtl w:val="false"/>
        </w:rPr>
        <w:t>The bias has relocated to the sequence</w:t>
      </w:r>
    </w:p>
    <w:p>
      <w:pPr>
        <w:jc w:val="center"/>
      </w:pPr>
      <w:r>
        <w:rPr>
          <w:b w:val="false"/>
          <w:bCs w:val="false"/>
          <w:i w:val="false"/>
          <w:iCs w:val="false"/>
          <w:sz w:val="22"/>
          <w:szCs w:val="22"/>
          <w:rtl w:val="false"/>
        </w:rPr>
        <w:t>Desire and analysis point opposite ways on the main call — he wants Bitcoin to fail on moral grounds while forecasting a rally that pays him — which is the protective configuration and genuinely rare. But the ordering pays twice: Financial gain first, moral satisfaction after. A forecast that satisfies every one of a forecaster’s competing interests in the most convenient order deserves extra scrutiny for exactly that reason. The test: Would he still forecast rally-first if he were short?</w:t>
      </w:r>
    </w:p>
    <w:p>
      <w:pPr>
        <w:keepNext/>
        <w:keepLines/>
        <w:spacing w:after="20" w:before="760"/>
        <w:jc w:val="center"/>
      </w:pPr>
      <w:r>
        <w:rPr>
          <w:b/>
          <w:bCs/>
          <w:i w:val="false"/>
          <w:iCs w:val="false"/>
          <w:sz w:val="28"/>
          <w:szCs w:val="28"/>
          <w:rtl w:val="false"/>
        </w:rPr>
        <w:t>And on the aversion limb the protection does not operate</w:t>
      </w:r>
    </w:p>
    <w:p>
      <w:pPr>
        <w:jc w:val="center"/>
      </w:pPr>
      <w:r>
        <w:rPr>
          <w:b w:val="false"/>
          <w:bCs w:val="false"/>
          <w:i w:val="false"/>
          <w:iCs w:val="false"/>
          <w:sz w:val="22"/>
          <w:szCs w:val="22"/>
          <w:rtl w:val="false"/>
        </w:rPr>
        <w:t>The salience limb rests on an anthropological claim — that people will recoil. He wants that to be true, because its arrival would vindicate his view of people. On that one limb, desire and analysis point the same way. Held consciously rather than left to ride on the rest.</w:t>
      </w:r>
    </w:p>
    <w:p>
      <w:pPr>
        <w:keepNext/>
        <w:keepLines/>
        <w:spacing w:after="20" w:before="760"/>
        <w:jc w:val="center"/>
      </w:pPr>
      <w:r>
        <w:rPr>
          <w:b/>
          <w:bCs/>
          <w:i w:val="false"/>
          <w:iCs w:val="false"/>
          <w:sz w:val="28"/>
          <w:szCs w:val="28"/>
          <w:rtl w:val="false"/>
        </w:rPr>
        <w:t>The node objection, and how far it reaches</w:t>
      </w:r>
    </w:p>
    <w:p>
      <w:pPr>
        <w:jc w:val="center"/>
      </w:pPr>
      <w:r>
        <w:rPr>
          <w:b w:val="false"/>
          <w:bCs w:val="false"/>
          <w:i w:val="false"/>
          <w:iCs w:val="false"/>
          <w:sz w:val="22"/>
          <w:szCs w:val="22"/>
          <w:rtl w:val="false"/>
        </w:rPr>
        <w:t>The vehicles that are growing mostly do not require the institution to store the chain. An ETF holder holds a security; a custodian need not run an archival node. This defeats the legal-possession version of the thesis. It does not defeat the contagion version, because contagion does not require possession — association is enough. So the case survives by routing through reputation rather than law, and “node operation is not possession” therefore does not falsify it.</w:t>
      </w:r>
    </w:p>
    <w:p>
      <w:pPr>
        <w:keepNext/>
        <w:keepLines/>
        <w:spacing w:after="20" w:before="760"/>
        <w:jc w:val="center"/>
      </w:pPr>
      <w:r>
        <w:rPr>
          <w:b/>
          <w:bCs/>
          <w:i w:val="false"/>
          <w:iCs w:val="false"/>
          <w:sz w:val="28"/>
          <w:szCs w:val="28"/>
          <w:rtl w:val="false"/>
        </w:rPr>
        <w:t>The open tension, unresolved</w:t>
      </w:r>
    </w:p>
    <w:p>
      <w:pPr>
        <w:jc w:val="center"/>
      </w:pPr>
      <w:r>
        <w:rPr>
          <w:b w:val="false"/>
          <w:bCs w:val="false"/>
          <w:i w:val="false"/>
          <w:iCs w:val="false"/>
          <w:sz w:val="22"/>
          <w:szCs w:val="22"/>
          <w:rtl w:val="false"/>
        </w:rPr>
        <w:t>The thesis needs contagion powerful for Bitcoin and reversible for Monero. Those are opposite properties of the same mechanism, and Rozin’s finding is that re-categorisation is active, effortful and slow. The load-bearing assumption is that the discernment arrives on a timescale that can be sat through. The 1986 Precedent supports it — but that recovery required an institutional actor and took years.</w:t>
      </w:r>
    </w:p>
    <w:p>
      <w:pPr>
        <w:keepNext/>
        <w:keepLines/>
        <w:spacing w:after="20" w:before="760"/>
        <w:jc w:val="center"/>
      </w:pPr>
      <w:r>
        <w:rPr>
          <w:b/>
          <w:bCs/>
          <w:i w:val="false"/>
          <w:iCs w:val="false"/>
          <w:sz w:val="28"/>
          <w:szCs w:val="28"/>
          <w:rtl w:val="false"/>
        </w:rPr>
        <w:t>The megaphone problem</w:t>
      </w:r>
    </w:p>
    <w:p>
      <w:pPr>
        <w:jc w:val="center"/>
      </w:pPr>
      <w:r>
        <w:rPr>
          <w:b w:val="false"/>
          <w:bCs w:val="false"/>
          <w:i w:val="false"/>
          <w:iCs w:val="false"/>
          <w:sz w:val="22"/>
          <w:szCs w:val="22"/>
          <w:rtl w:val="false"/>
        </w:rPr>
        <w:t>Monero’s one-sentence exoneration is technically true and checkable. But the people best placed to make it are the ones already off the platforms. The exoneration case wants to be written and dated before it is needed, not improvised mid-panic when nobody is listening to anyone holding a privacy coin.</w:t>
      </w:r>
    </w:p>
    <w:p>
      <w:pPr>
        <w:keepNext/>
        <w:keepLines/>
        <w:spacing w:after="20" w:before="760"/>
        <w:jc w:val="center"/>
      </w:pPr>
      <w:r>
        <w:rPr>
          <w:b/>
          <w:bCs/>
          <w:i w:val="false"/>
          <w:iCs w:val="false"/>
          <w:sz w:val="28"/>
          <w:szCs w:val="28"/>
          <w:rtl w:val="false"/>
        </w:rPr>
        <w:t>The residual risks no price level can reach</w:t>
      </w:r>
    </w:p>
    <w:p>
      <w:pPr>
        <w:jc w:val="center"/>
      </w:pPr>
      <w:r>
        <w:rPr>
          <w:b w:val="false"/>
          <w:bCs w:val="false"/>
          <w:i w:val="false"/>
          <w:iCs w:val="false"/>
          <w:sz w:val="22"/>
          <w:szCs w:val="22"/>
          <w:rtl w:val="false"/>
        </w:rPr>
        <w:t>Privacy breaking. A cryptographic break. Crypto as an asset class disappearing. None of these would warn the ratio first — they arrive without a chart signal, so the tiered levels give no protection against them. This is accepted explicitly rather than argued away.</w:t>
      </w:r>
    </w:p>
    <w:p>
      <w:pPr>
        <w:keepNext/>
        <w:keepLines/>
        <w:spacing w:after="20" w:before="760"/>
        <w:jc w:val="center"/>
      </w:pPr>
      <w:r>
        <w:rPr>
          <w:b/>
          <w:bCs/>
          <w:i w:val="false"/>
          <w:iCs w:val="false"/>
          <w:sz w:val="28"/>
          <w:szCs w:val="28"/>
          <w:rtl w:val="false"/>
        </w:rPr>
        <w:t>The standing instruction</w:t>
      </w:r>
    </w:p>
    <w:p>
      <w:pPr>
        <w:jc w:val="center"/>
      </w:pPr>
      <w:r>
        <w:rPr>
          <w:b w:val="false"/>
          <w:bCs w:val="false"/>
          <w:i w:val="false"/>
          <w:iCs w:val="false"/>
          <w:sz w:val="22"/>
          <w:szCs w:val="22"/>
          <w:rtl w:val="false"/>
        </w:rPr>
        <w:t>“If you ever don’t doubt me, that’s when we’re in danger.” Too much confidence and too much certainty are named as the risk, and the doubt is to be kept up rather than dropped when calls land.</w:t>
      </w:r>
    </w:p>
    <w:p>
      <w:pPr>
        <w:keepNext/>
        <w:keepLines/>
        <w:spacing w:after="240" w:before="760"/>
        <w:jc w:val="center"/>
      </w:pPr>
      <w:r>
        <w:rPr>
          <w:b/>
          <w:bCs/>
          <w:i w:val="false"/>
          <w:iCs w:val="false"/>
          <w:sz w:val="36"/>
          <w:szCs w:val="36"/>
          <w:rtl w:val="false"/>
        </w:rPr>
        <w:t>VIII · Dependencies</w:t>
      </w:r>
    </w:p>
    <w:p>
      <w:pPr>
        <w:jc w:val="center"/>
      </w:pPr>
      <w:r>
        <w:rPr>
          <w:b w:val="false"/>
          <w:bCs w:val="false"/>
          <w:i w:val="false"/>
          <w:iCs w:val="false"/>
          <w:sz w:val="22"/>
          <w:szCs w:val="22"/>
          <w:rtl w:val="false"/>
        </w:rPr>
        <w:t>Argued elsewhere, named here so this document stays scoreable on its own terms. The dollar thesis — the $100k call carries a weak-dollar mechanism and depends on it. The long-bond thesis — the 6.9% structural target on the 30-year. The denominator method and the fortune-teller wick technique, which supply the instruments used throughout. And a disclosure that is itself dated by commit: the free bible corpus on the public repository openly endorses Monero, and those documents were published before there was any market reason to be saying so. It is unfalsifiable as a forecast — no level, no mechanism, no date — and unimpeachable as a statement of when the position was taken and why.</w:t>
      </w:r>
    </w:p>
    <w:p>
      <w:pPr>
        <w:keepNext/>
        <w:keepLines/>
        <w:spacing w:after="240" w:before="760"/>
        <w:jc w:val="center"/>
      </w:pPr>
      <w:r>
        <w:rPr>
          <w:b/>
          <w:bCs/>
          <w:i w:val="false"/>
          <w:iCs w:val="false"/>
          <w:sz w:val="36"/>
          <w:szCs w:val="36"/>
          <w:rtl w:val="false"/>
        </w:rPr>
        <w:t>IX · What would count as being right</w:t>
      </w:r>
    </w:p>
    <w:p>
      <w:pPr>
        <w:jc w:val="center"/>
      </w:pPr>
      <w:r>
        <w:rPr>
          <w:b w:val="false"/>
          <w:bCs w:val="false"/>
          <w:i w:val="false"/>
          <w:iCs w:val="false"/>
          <w:sz w:val="22"/>
          <w:szCs w:val="22"/>
          <w:rtl w:val="false"/>
        </w:rPr>
        <w:t>Bitcoin: Fails to make a new all-time high against the NASDAQ, turns back from below 88.88M, and completes the head and shoulders. Monero: Takes its drawdown from a higher high and makes a higher low while Bitcoin does neither. The correlation between them breaks down — which is the earliest and cleanest confirmation available, and it arrives before any narrative does.</w:t>
      </w:r>
    </w:p>
    <w:p>
      <w:pPr>
        <w:jc w:val="center"/>
      </w:pPr>
      <w:r>
        <w:rPr>
          <w:b w:val="false"/>
          <w:bCs w:val="false"/>
          <w:i w:val="false"/>
          <w:iCs w:val="false"/>
          <w:sz w:val="22"/>
          <w:szCs w:val="22"/>
          <w:rtl w:val="false"/>
        </w:rPr>
        <w:t>And what would count as being wrong. A three-day close above 88.88M on Bitcoin denominated in the NASDAQ 100. A three-day close above 669 million ounces on Bitcoin denominated in gold. A three-day close above 300 on BTC/XMR, which triggers the exit to cash regardless of what anyone believes. Or the salience failure specified below.</w:t>
      </w:r>
    </w:p>
    <w:p>
      <w:pPr>
        <w:keepNext/>
        <w:keepLines/>
        <w:spacing w:after="20" w:before="760"/>
        <w:jc w:val="center"/>
      </w:pPr>
      <w:r>
        <w:rPr>
          <w:b/>
          <w:bCs/>
          <w:i w:val="false"/>
          <w:iCs w:val="false"/>
          <w:sz w:val="28"/>
          <w:szCs w:val="28"/>
          <w:rtl w:val="false"/>
        </w:rPr>
        <w:t>The salience falsifier, specified</w:t>
      </w:r>
    </w:p>
    <w:p>
      <w:pPr>
        <w:jc w:val="center"/>
      </w:pPr>
      <w:r>
        <w:rPr>
          <w:b w:val="false"/>
          <w:bCs w:val="false"/>
          <w:i w:val="false"/>
          <w:iCs w:val="false"/>
          <w:sz w:val="22"/>
          <w:szCs w:val="22"/>
          <w:rtl w:val="false"/>
        </w:rPr>
        <w:t>The salience limb of this thesis runs price to attention to expose to institutional response. The falsifier tests the last link, so the clock runs from the expose rather than from the price. But if no expose ever lands the condition never activates, which is what made the earlier wording unfalsifiable. It therefore needs two clocks and a cancel.</w:t>
      </w:r>
    </w:p>
    <w:p>
      <w:pPr>
        <w:jc w:val="center"/>
      </w:pPr>
      <w:r>
        <w:rPr>
          <w:b w:val="false"/>
          <w:bCs w:val="false"/>
          <w:i w:val="false"/>
          <w:iCs w:val="false"/>
          <w:sz w:val="22"/>
          <w:szCs w:val="22"/>
          <w:rtl w:val="false"/>
        </w:rPr>
        <w:t>Clock one, activation. Bitcoin closes above one hundred thousand US dollars. If no qualifying expose lands within TWELVE MONTHS of that close, the salience mechanism is not operating as this document describes it, and the limb fails on that ground alone. Twelve months is deliberately generous, because the author is systematically early and the falsifier should not reward that.</w:t>
      </w:r>
    </w:p>
    <w:p>
      <w:pPr>
        <w:jc w:val="center"/>
      </w:pPr>
      <w:r>
        <w:rPr>
          <w:b w:val="false"/>
          <w:bCs w:val="false"/>
          <w:i w:val="false"/>
          <w:iCs w:val="false"/>
          <w:sz w:val="22"/>
          <w:szCs w:val="22"/>
          <w:rtl w:val="false"/>
        </w:rPr>
        <w:t>Clock two, response. Once a qualifying expose lands, a qualifying institutional response must follow within SIX MONTHS. If none does, the aversion limb fails. Six months is benchmarked rather than arbitrary: both the Terra collapse of May 2022 and the FTX failure of November 2022 drew formal regulatory response well inside it.</w:t>
      </w:r>
    </w:p>
    <w:p>
      <w:pPr>
        <w:jc w:val="center"/>
      </w:pPr>
      <w:r>
        <w:rPr>
          <w:b w:val="false"/>
          <w:bCs w:val="false"/>
          <w:i w:val="false"/>
          <w:iCs w:val="false"/>
          <w:sz w:val="22"/>
          <w:szCs w:val="22"/>
          <w:rtl w:val="false"/>
        </w:rPr>
        <w:t>The cancel. If Bitcoin closes back below one hundred thousand dollars before a qualifying expose lands, clock one stops. The precondition has gone and the count begins again on the next close above.</w:t>
      </w:r>
    </w:p>
    <w:p>
      <w:pPr>
        <w:jc w:val="center"/>
      </w:pPr>
      <w:r>
        <w:rPr>
          <w:b w:val="false"/>
          <w:bCs w:val="false"/>
          <w:i w:val="false"/>
          <w:iCs w:val="false"/>
          <w:sz w:val="22"/>
          <w:szCs w:val="22"/>
          <w:rtl w:val="false"/>
        </w:rPr>
        <w:t>A qualifying expose is a named mainstream outlet — the Financial Times, the Wall Street Journal, the New York Times, Bloomberg, Reuters, the BBC or the Economist — LEADING WITH THE CHAIN CONTENT AS THE STORY, not carrying it as a paragraph inside a piece about something else. Crypto trade media does not count, because it speaks to people already inside the position and the whole mechanism depends on new eyes.</w:t>
      </w:r>
    </w:p>
    <w:p>
      <w:pPr>
        <w:jc w:val="center"/>
      </w:pPr>
      <w:r>
        <w:rPr>
          <w:b w:val="false"/>
          <w:bCs w:val="false"/>
          <w:i w:val="false"/>
          <w:iCs w:val="false"/>
          <w:sz w:val="22"/>
          <w:szCs w:val="22"/>
          <w:rtl w:val="false"/>
        </w:rPr>
        <w:t>A qualifying institutional response is a regulated entity publicly changing policy, disclosing exposure, or exiting a position — or a regulator opening a formal inquiry that names the content. A statement on social media is not a response.</w:t>
      </w:r>
    </w:p>
    <w:p>
      <w:pPr>
        <w:jc w:val="center"/>
      </w:pPr>
      <w:r>
        <w:rPr>
          <w:b w:val="false"/>
          <w:bCs w:val="false"/>
          <w:i w:val="false"/>
          <w:iCs w:val="false"/>
          <w:sz w:val="22"/>
          <w:szCs w:val="22"/>
          <w:rtl w:val="false"/>
        </w:rPr>
        <w:t>And the strongest version of the response test, because nobody gets to interpret it: THE DISCLOSURE TEST. Listed companies are obliged to disclose material risks in their filings. So the question is whether any ETF issuer or listed holder adds chain content to its RISK FACTORS within the window. A 10-K either names it or it does not. Dated, public, searchable, and not a matter of opinion.</w:t>
      </w:r>
    </w:p>
    <w:p>
      <w:pPr>
        <w:keepNext/>
        <w:keepLines/>
        <w:spacing w:after="240" w:before="760"/>
        <w:jc w:val="center"/>
      </w:pPr>
      <w:r>
        <w:rPr>
          <w:b/>
          <w:bCs/>
          <w:i w:val="false"/>
          <w:iCs w:val="false"/>
          <w:sz w:val="36"/>
          <w:szCs w:val="36"/>
          <w:rtl w:val="false"/>
        </w:rPr>
        <w:t>Closing</w:t>
      </w:r>
    </w:p>
    <w:p>
      <w:pPr>
        <w:jc w:val="center"/>
      </w:pPr>
      <w:r>
        <w:rPr>
          <w:b w:val="false"/>
          <w:bCs w:val="false"/>
          <w:i w:val="false"/>
          <w:iCs w:val="false"/>
          <w:sz w:val="22"/>
          <w:szCs w:val="22"/>
          <w:rtl w:val="false"/>
        </w:rPr>
        <w:t>The position does not require Bitcoin to fail. If it survives, the only cost is that less liquidity ever finds its way to Monero. The strong opinion and the staked money are pointed at different objects, which is the single best feature of the construction and the reason it can be held without needing to be right.</w:t>
      </w:r>
    </w:p>
    <w:p>
      <w:pPr>
        <w:spacing w:before="320"/>
        <w:jc w:val="center"/>
      </w:pPr>
      <w:r>
        <w:rPr>
          <w:b w:val="false"/>
          <w:bCs w:val="false"/>
          <w:i/>
          <w:iCs/>
          <w:sz w:val="20"/>
          <w:szCs w:val="20"/>
          <w:rtl w:val="false"/>
        </w:rPr>
        <w:t>Held to the chamber discipline: The claims carry their dates, the counter-arguments are printed beside them, and the falsifier is stated in a number rather than a feeling.</w:t>
      </w:r>
    </w:p>
    <w:p>
      <w:pPr>
        <w:spacing w:after="160" w:before="0"/>
        <w:jc w:val="center"/>
      </w:pPr>
      <w:r>
        <w:rPr>
          <w:b w:val="false"/>
          <w:bCs w:val="false"/>
          <w:i/>
          <w:iCs/>
          <w:sz w:val="22"/>
          <w:szCs w:val="22"/>
          <w:rtl w:val="false"/>
        </w:rPr>
        <w:t>— recorded in the Thirteenth Runner</w:t>
      </w:r>
    </w:p>
    <w:p>
      <w:pPr>
        <w:jc w:val="center"/>
      </w:pPr>
      <w:r>
        <w:rPr>
          <w:b w:val="false"/>
          <w:bCs w:val="false"/>
          <w:i w:val="false"/>
          <w:iCs w:val="false"/>
          <w:sz w:val="22"/>
          <w:szCs w:val="22"/>
          <w:rtl w:val="false"/>
        </w:rPr>
        <w:t>Perth, Western Australia</w:t>
      </w:r>
    </w:p>
    <w:p>
      <w:pPr>
        <w:jc w:val="center"/>
      </w:pPr>
      <w:r>
        <w:rPr>
          <w:b w:val="false"/>
          <w:bCs w:val="false"/>
          <w:i w:val="false"/>
          <w:iCs w:val="false"/>
          <w:sz w:val="22"/>
          <w:szCs w:val="22"/>
          <w:rtl w:val="false"/>
        </w:rPr>
        <w:t>26 August 2026 — opened. 31 August 2026 — second update: the public trade record entered at II‹c›, the custody path at IV‹b›, the day's claims dated into II, the exit ladder and the two exits set out beside the invalidation, and the wrongness windows closed in IX. To be updated as the record accrues.</w:t>
      </w:r>
    </w:p>
    <w:p>
      <w:pPr>
        <w:keepNext/>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8"/>
                    <a:stretch>
                      <a:fillRect/>
                    </a:stretch>
                  </pic:blipFill>
                  <pic:spPr>
                    <a:xfrm>
                      <a:off x="0" y="0"/>
                      <a:ext cx="1645920" cy="898668"/>
                    </a:xfrm>
                    <a:prstGeom prst="rect"/>
                  </pic:spPr>
                </pic:pic>
              </a:graphicData>
            </a:graphic>
          </wp:inline>
        </w:drawing>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2026-08-08T03:37:59.513Z</dcterms:created>
  <dcterms:modified xsi:type="dcterms:W3CDTF">2026-08-08T03:37:59.537Z</dcterms:modified>
</cp:coreProperties>
</file>

<file path=docProps/custom.xml><?xml version="1.0" encoding="utf-8"?>
<Properties xmlns="http://schemas.openxmlformats.org/officeDocument/2006/custom-properties" xmlns:vt="http://schemas.openxmlformats.org/officeDocument/2006/docPropsVTypes"/>
</file>