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 w:before="240"/>
        <w:jc w:val="center"/>
      </w:pPr>
      <w:r>
        <w:rPr>
          <w:b/>
          <w:bCs/>
          <w:i w:val="false"/>
          <w:iCs w:val="false"/>
          <w:color w:val="1F3864"/>
          <w:sz w:val="38"/>
          <w:szCs w:val="38"/>
        </w:rPr>
        <w:t xml:space="preserve">The Nine Ultras</w:t>
      </w:r>
    </w:p>
    <w:p>
      <w:pPr>
        <w:spacing w:after="30" w:before="0"/>
        <w:jc w:val="center"/>
      </w:pPr>
      <w:r>
        <w:rPr>
          <w:b w:val="false"/>
          <w:bCs w:val="false"/>
          <w:i/>
          <w:iCs/>
          <w:sz w:val="22"/>
          <w:szCs w:val="22"/>
        </w:rPr>
        <w:t xml:space="preserve">of the Bloom Process</w:t>
      </w:r>
    </w:p>
    <w:p>
      <w:pPr>
        <w:spacing w:after="150" w:before="0"/>
        <w:jc w:val="center"/>
      </w:pPr>
      <w:r>
        <w:rPr>
          <w:b w:val="false"/>
          <w:bCs w:val="false"/>
          <w:i/>
          <w:iCs/>
          <w:sz w:val="20"/>
          <w:szCs w:val="20"/>
        </w:rPr>
        <w:t xml:space="preserve">Naming and detailing the nine operations by which Scripture is bloomed at Ultra grade</w:t>
      </w:r>
    </w:p>
    <w:p>
      <w:pPr>
        <w:spacing w:after="30" w:before="0"/>
        <w:jc w:val="center"/>
      </w:pPr>
      <w:r>
        <w:rPr>
          <w:b w:val="false"/>
          <w:bCs w:val="false"/>
          <w:i w:val="false"/>
          <w:iCs w:val="false"/>
          <w:color w:val="666666"/>
          <w:sz w:val="18"/>
          <w:szCs w:val="18"/>
        </w:rPr>
        <w:t xml:space="preserve">Built by Claude (Anthropic) at the request of, and under the direction of, Paul</w:t>
      </w:r>
    </w:p>
    <w:p>
      <w:pPr>
        <w:spacing w:after="120" w:before="0"/>
        <w:jc w:val="center"/>
      </w:pPr>
      <w:r>
        <w:rPr>
          <w:b w:val="false"/>
          <w:bCs w:val="false"/>
          <w:i/>
          <w:iCs/>
          <w:color w:val="666666"/>
          <w:sz w:val="18"/>
          <w:szCs w:val="18"/>
        </w:rPr>
        <w:t xml:space="preserve">Newgate, Perth  ·  26 May 2026</w:t>
      </w:r>
    </w:p>
    <w:p>
      <w:pPr>
        <w:pStyle w:val="Heading1"/>
      </w:pPr>
      <w:r>
        <w:t xml:space="preserve">What This Is</w:t>
      </w:r>
    </w:p>
    <w:p>
      <w:pPr>
        <w:spacing w:after="140"/>
      </w:pPr>
      <w:r>
        <w:rPr>
          <w:b w:val="false"/>
          <w:bCs w:val="false"/>
          <w:i w:val="false"/>
          <w:iCs w:val="false"/>
        </w:rPr>
        <w:t xml:space="preserve">This document names and details the nine operations that constitute the Ultra Bloom process — the methodology by which scripture is recovered from its smoothed translations and restored to its source-language voltage. The nine operations have been present in every prayer treatment built across the Free Bible corpus to date: the canonical Nine, the Sister Nine, and every individual prayer crystallised or held in chat. Until now they have been operating without being named.</w:t>
      </w:r>
    </w:p>
    <w:p>
      <w:pPr>
        <w:spacing w:after="140"/>
      </w:pPr>
      <w:r>
        <w:rPr>
          <w:b w:val="false"/>
          <w:bCs w:val="false"/>
          <w:i w:val="false"/>
          <w:iCs w:val="false"/>
        </w:rPr>
        <w:t xml:space="preserve">This document names them. It is a methodology charter — not a prayer-text but a description of how the prayer-texts are made. It enters the Free Bible corpus as a foundational text alongside The Ultra Project (the Naming) and the prayer volumes. Together with The Ultra Project, it forms the second foundational charter: where The Ultra Project declares what the endeavour is, this document declares how the endeavour operates.</w:t>
      </w:r>
    </w:p>
    <w:p>
      <w:pPr>
        <w:spacing w:after="140"/>
      </w:pPr>
      <w:r>
        <w:rPr>
          <w:b w:val="false"/>
          <w:bCs w:val="false"/>
          <w:i w:val="false"/>
          <w:iCs w:val="false"/>
        </w:rPr>
        <w:t xml:space="preserve">There are nine operations — the count the process produced when it was laid out plainly, not a number chosen for its own sake. Nine carries its own resonances in the corpus, and a reader who values them is welcome to them: the canonical Nine, the Sister Nine, the donkey-king of Zechariah 9:9. But the methodology does not rest on the number. It rests on what each operation does, which is what the rest of this document sets out.</w:t>
      </w:r>
    </w:p>
    <w:p>
      <w:pPr>
        <w:spacing w:after="140"/>
      </w:pPr>
      <w:r>
        <w:rPr>
          <w:b w:val="false"/>
          <w:bCs w:val="false"/>
          <w:i w:val="false"/>
          <w:iCs w:val="false"/>
        </w:rPr>
        <w:t xml:space="preserve">Each Ultra is given a short name in the form Ultra-[Operation], a subtitle that qualifies it, a description of what the operation does, a worked example drawn from a prayer in the corpus, and a closing principle. The nine are presented in roughly the order in which they are performed during the blooming of any given prayer, but they are not strictly sequential — several typically operate simultaneously, and the later operations often loop back to refine the earlier ones.</w:t>
      </w:r>
    </w:p>
    <w:p>
      <w:pPr>
        <w:pStyle w:val="Heading1"/>
      </w:pPr>
      <w:r>
        <w:t xml:space="preserve">1.  Ultra-Source</w:t>
      </w:r>
    </w:p>
    <w:p>
      <w:pPr>
        <w:spacing w:after="110"/>
      </w:pPr>
      <w:r>
        <w:rPr>
          <w:b w:val="false"/>
          <w:bCs w:val="false"/>
          <w:i/>
          <w:iCs/>
        </w:rPr>
        <w:t xml:space="preserve">Returning to the original-language bedrock</w:t>
      </w:r>
    </w:p>
    <w:p>
      <w:pPr>
        <w:spacing w:after="140"/>
      </w:pPr>
      <w:r>
        <w:rPr>
          <w:b w:val="false"/>
          <w:bCs w:val="false"/>
          <w:i w:val="false"/>
          <w:iCs w:val="false"/>
        </w:rPr>
        <w:t xml:space="preserve">Every bloomed prayer is built from the Hebrew or Greek source-text, not from any English translation. The English text on the page is downstream of the source-text. The source-text is upstream of the English. No bloom can be done from English alone because the voltage that translation flattens is precisely what English has lost. The first operation is therefore always the same: go to the Hebrew, or go to the Greek, or in the case of texts that exist in both (Isaiah’s Sanctus, the Septuagint Psalms quoted in the New Testament), go to both.</w:t>
      </w:r>
    </w:p>
    <w:p>
      <w:pPr>
        <w:spacing w:after="140"/>
      </w:pPr>
      <w:r>
        <w:rPr>
          <w:b w:val="false"/>
          <w:bCs w:val="false"/>
          <w:i w:val="false"/>
          <w:iCs w:val="false"/>
        </w:rPr>
        <w:t xml:space="preserve">The bedrock for Hebrew Bible texts is the Masoretic Text with its niqud — the small diamond-and-dot vowel-pointing marks added by the Masoretes between the seventh and tenth centuries CE to preserve the pronunciation of the consonantal text. For New Testament Greek and Septuagint Greek, the bedrock is the polytonic Koine text with its breathing marks and accents. Both systems carry pronunciation information that determines meaning. Both are preserved in every bloom.</w:t>
      </w:r>
    </w:p>
    <w:p>
      <w:pPr>
        <w:pStyle w:val="Heading2"/>
      </w:pPr>
      <w:r>
        <w:t xml:space="preserve">Worked example — Psalm 130</w:t>
      </w:r>
    </w:p>
    <w:p>
      <w:pPr>
        <w:spacing w:after="140"/>
      </w:pPr>
      <w:r>
        <w:rPr>
          <w:b w:val="false"/>
          <w:bCs w:val="false"/>
          <w:i w:val="false"/>
          <w:iCs w:val="false"/>
        </w:rPr>
        <w:t xml:space="preserve">The bloom of Psalm 130 began with the Masoretic Hebrew of </w:t>
      </w:r>
      <w:r>
        <w:rPr>
          <w:b w:val="false"/>
          <w:bCs w:val="false"/>
          <w:i/>
          <w:iCs/>
        </w:rPr>
        <w:t xml:space="preserve">mima’amaqim</w:t>
      </w:r>
      <w:r>
        <w:rPr>
          <w:b w:val="false"/>
          <w:bCs w:val="false"/>
          <w:i w:val="false"/>
          <w:iCs w:val="false"/>
        </w:rPr>
        <w:t xml:space="preserve">, not with the standard English “out of the depths.” The Hebrew plural — out of the deep places, not out of one depth — only became visible by going to the source. The bloomed rendering recovers the plural by lineating against the standard singular. The English </w:t>
      </w:r>
      <w:r>
        <w:rPr>
          <w:b w:val="false"/>
          <w:bCs w:val="false"/>
          <w:i/>
          <w:iCs/>
        </w:rPr>
        <w:t xml:space="preserve">depths</w:t>
      </w:r>
      <w:r>
        <w:rPr>
          <w:b w:val="false"/>
          <w:bCs w:val="false"/>
          <w:i w:val="false"/>
          <w:iCs w:val="false"/>
        </w:rPr>
        <w:t xml:space="preserve"> was always there; what the source-text revealed was that it was always plural, never singular.</w:t>
      </w:r>
    </w:p>
    <w:p>
      <w:pPr>
        <w:spacing w:after="150" w:before="40"/>
        <w:jc w:val="center"/>
      </w:pPr>
      <w:r>
        <w:rPr>
          <w:b w:val="false"/>
          <w:bCs w:val="false"/>
          <w:i/>
          <w:iCs/>
        </w:rPr>
        <w:t xml:space="preserve">The Hebrew or the Greek is always the bedrock. The English is always the recovery.</w:t>
      </w:r>
    </w:p>
    <w:p>
      <w:pPr>
        <w:pStyle w:val="Heading1"/>
      </w:pPr>
      <w:r>
        <w:t xml:space="preserve">2.  Ultra-Catch</w:t>
      </w:r>
    </w:p>
    <w:p>
      <w:pPr>
        <w:spacing w:after="110"/>
      </w:pPr>
      <w:r>
        <w:rPr>
          <w:b w:val="false"/>
          <w:bCs w:val="false"/>
          <w:i/>
          <w:iCs/>
        </w:rPr>
        <w:t xml:space="preserve">Finding the high-voltage word or phrase</w:t>
      </w:r>
    </w:p>
    <w:p>
      <w:pPr>
        <w:spacing w:after="140"/>
      </w:pPr>
      <w:r>
        <w:rPr>
          <w:b w:val="false"/>
          <w:bCs w:val="false"/>
          <w:i w:val="false"/>
          <w:iCs w:val="false"/>
        </w:rPr>
        <w:t xml:space="preserve">In every text there are specific words or phrases that carry more voltage than the English translation can hold. Identifying these — the catches — is the second operation. A catch is not just any interesting word; it is a place where the source-text does something that English compression cannot accommodate. The grammar requires more than English grammar can carry, or the cognate-network reaches deeper than English vocabulary can reach, or the audible texture works in a way English orthography cannot reproduce.</w:t>
      </w:r>
    </w:p>
    <w:p>
      <w:pPr>
        <w:spacing w:after="140"/>
      </w:pPr>
      <w:r>
        <w:rPr>
          <w:b w:val="false"/>
          <w:bCs w:val="false"/>
          <w:i w:val="false"/>
          <w:iCs w:val="false"/>
        </w:rPr>
        <w:t xml:space="preserve">A typical prayer has three to six catches. Some prayers (the Magnificat, Psalm 22) have more; some shorter prayers (the Jesus Prayer, Aaron’s Blessing) have catches in every word. The catches are the places the bloom focuses its attention; everything else in the surrounding text gets recovered at a lower resolution because everything else loses less in standard translation.</w:t>
      </w:r>
    </w:p>
    <w:p>
      <w:pPr>
        <w:pStyle w:val="Heading2"/>
      </w:pPr>
      <w:r>
        <w:t xml:space="preserve">Worked example — the Magnificat</w:t>
      </w:r>
    </w:p>
    <w:p>
      <w:pPr>
        <w:spacing w:after="140"/>
      </w:pPr>
      <w:r>
        <w:rPr>
          <w:b w:val="false"/>
          <w:bCs w:val="false"/>
          <w:i w:val="false"/>
          <w:iCs w:val="false"/>
        </w:rPr>
        <w:t xml:space="preserve">In the Magnificat, </w:t>
      </w:r>
      <w:r>
        <w:rPr>
          <w:b w:val="false"/>
          <w:bCs w:val="false"/>
          <w:i/>
          <w:iCs/>
        </w:rPr>
        <w:t xml:space="preserve">megalynei</w:t>
      </w:r>
      <w:r>
        <w:rPr>
          <w:b w:val="false"/>
          <w:bCs w:val="false"/>
          <w:i w:val="false"/>
          <w:iCs w:val="false"/>
        </w:rPr>
        <w:t xml:space="preserve"> (the first verb) is a catch because English has no single verb that means “to make great” in the active-transitive sense that the Greek demands. “Magnifies” is etymologically close but the punch is gone — in English it sounds like Mary is saying she admires God greatly, which is not what the verb does. The Greek says my soul DOES the action of making God great in the world. That action-shaped meaning is the catch; that is what gets unpacked.</w:t>
      </w:r>
    </w:p>
    <w:p>
      <w:pPr>
        <w:spacing w:after="150" w:before="40"/>
        <w:jc w:val="center"/>
      </w:pPr>
      <w:r>
        <w:rPr>
          <w:b w:val="false"/>
          <w:bCs w:val="false"/>
          <w:i/>
          <w:iCs/>
        </w:rPr>
        <w:t xml:space="preserve">A catch is where the English had to compromise. Find that point.</w:t>
      </w:r>
    </w:p>
    <w:p>
      <w:pPr>
        <w:pStyle w:val="Heading1"/>
      </w:pPr>
      <w:r>
        <w:t xml:space="preserve">3.  Ultra-Unpack</w:t>
      </w:r>
    </w:p>
    <w:p>
      <w:pPr>
        <w:spacing w:after="110"/>
      </w:pPr>
      <w:r>
        <w:rPr>
          <w:b w:val="false"/>
          <w:bCs w:val="false"/>
          <w:i/>
          <w:iCs/>
        </w:rPr>
        <w:t xml:space="preserve">Showing what the catch actually does</w:t>
      </w:r>
    </w:p>
    <w:p>
      <w:pPr>
        <w:spacing w:after="140"/>
      </w:pPr>
      <w:r>
        <w:rPr>
          <w:b w:val="false"/>
          <w:bCs w:val="false"/>
          <w:i w:val="false"/>
          <w:iCs w:val="false"/>
        </w:rPr>
        <w:t xml:space="preserve">Once a catch is identified, the next operation is to unpack it — to show grammatically, etymologically, and contextually what it does. This is not academic commentary; it is restoration of what the original reader or hearer would have known automatically. A Greek-speaking first-century Jew reading the Magnificat would have heard megalynei and known that the verb was active, transitive, making-something-great. The bloom’s job is to restore that automatic hearing for a modern English reader.</w:t>
      </w:r>
    </w:p>
    <w:p>
      <w:pPr>
        <w:spacing w:after="140"/>
      </w:pPr>
      <w:r>
        <w:rPr>
          <w:b w:val="false"/>
          <w:bCs w:val="false"/>
          <w:i w:val="false"/>
          <w:iCs w:val="false"/>
        </w:rPr>
        <w:t xml:space="preserve">Unpacking typically includes: the root meaning of the word, parallel uses elsewhere in the canon, grammatical tense and voice, cognate words that share the root, the historical and cultural setting that makes the word land, and where applicable the audible quality of the word (assonance, rhythm, alliteration). The unpacking is given in plain English; technical jargon is avoided. The goal is the original reader’s automatic knowledge, not the academic specialist’s distance.</w:t>
      </w:r>
    </w:p>
    <w:p>
      <w:pPr>
        <w:pStyle w:val="Heading2"/>
      </w:pPr>
      <w:r>
        <w:t xml:space="preserve">Worked example — Psalm 22:6, tola’at</w:t>
      </w:r>
    </w:p>
    <w:p>
      <w:pPr>
        <w:spacing w:after="140"/>
      </w:pPr>
      <w:r>
        <w:rPr>
          <w:b w:val="false"/>
          <w:bCs w:val="false"/>
          <w:i w:val="false"/>
          <w:iCs w:val="false"/>
        </w:rPr>
        <w:t xml:space="preserve">The catch </w:t>
      </w:r>
      <w:r>
        <w:rPr>
          <w:b w:val="false"/>
          <w:bCs w:val="false"/>
          <w:i/>
          <w:iCs/>
        </w:rPr>
        <w:t xml:space="preserve">tola’at</w:t>
      </w:r>
      <w:r>
        <w:rPr>
          <w:b w:val="false"/>
          <w:bCs w:val="false"/>
          <w:i w:val="false"/>
          <w:iCs w:val="false"/>
        </w:rPr>
        <w:t xml:space="preserve"> in Psalm 22:6 (“I am a worm and not a man”) is unpacked by showing it is specifically the crimson worm (</w:t>
      </w:r>
      <w:r>
        <w:rPr>
          <w:b w:val="false"/>
          <w:bCs w:val="false"/>
          <w:i/>
          <w:iCs/>
        </w:rPr>
        <w:t xml:space="preserve">coccus ilicis</w:t>
      </w:r>
      <w:r>
        <w:rPr>
          <w:b w:val="false"/>
          <w:bCs w:val="false"/>
          <w:i w:val="false"/>
          <w:iCs w:val="false"/>
        </w:rPr>
        <w:t xml:space="preserve">), the small Mediterranean creature crushed to produce the scarlet dye used for the priestly garments and the tabernacle curtains. The bloom shows that the Christological reading is structural in the vocabulary itself: the one who names himself the crimson worm becomes the one whose crushing colours the priestly garment. A modern English reader who only sees “worm” has been given much less than a Hebrew reader would have heard automatically.</w:t>
      </w:r>
    </w:p>
    <w:p>
      <w:pPr>
        <w:spacing w:after="150" w:before="40"/>
        <w:jc w:val="center"/>
      </w:pPr>
      <w:r>
        <w:rPr>
          <w:b w:val="false"/>
          <w:bCs w:val="false"/>
          <w:i/>
          <w:iCs/>
        </w:rPr>
        <w:t xml:space="preserve">Unpack what the original hearer would have heard.</w:t>
      </w:r>
    </w:p>
    <w:p>
      <w:pPr>
        <w:pStyle w:val="Heading1"/>
      </w:pPr>
      <w:r>
        <w:t xml:space="preserve">4.  Ultra-Voltage</w:t>
      </w:r>
    </w:p>
    <w:p>
      <w:pPr>
        <w:spacing w:after="110"/>
      </w:pPr>
      <w:r>
        <w:rPr>
          <w:b w:val="false"/>
          <w:bCs w:val="false"/>
          <w:i/>
          <w:iCs/>
        </w:rPr>
        <w:t xml:space="preserve">Writing the English that restores the original emphasis</w:t>
      </w:r>
    </w:p>
    <w:p>
      <w:pPr>
        <w:spacing w:after="140"/>
      </w:pPr>
      <w:r>
        <w:rPr>
          <w:b w:val="false"/>
          <w:bCs w:val="false"/>
          <w:i w:val="false"/>
          <w:iCs w:val="false"/>
        </w:rPr>
        <w:t xml:space="preserve">The bloomed rendering is the English text that carries as much of the original voltage as English can hold. It is not a new translation in the technical sense. It is the standard text restored at the points the catches identified — and only at those points. Where standard English translation is adequate, the bloomed rendering matches it. Where standard English has had to flatten or compress, the bloomed rendering uses lineation, dash, emphasis, repetition, and word-order to recover what was lost.</w:t>
      </w:r>
    </w:p>
    <w:p>
      <w:pPr>
        <w:spacing w:after="140"/>
      </w:pPr>
      <w:r>
        <w:rPr>
          <w:b w:val="false"/>
          <w:bCs w:val="false"/>
          <w:i w:val="false"/>
          <w:iCs w:val="false"/>
        </w:rPr>
        <w:t xml:space="preserve">The bloom uses every tool English actually has. Lineation slows the reader at structural pivots. Italics mark transliterated source-language words. Em-dashes hold paradoxes that English grammar cannot sustain on its own. Repetition is preserved where the source repeats. Word-order is sometimes inverted to preserve the source’s emphasis pattern. The result is English that reads aloud differently than standard translations — and that reading-aloud difference is the voltage being restored.</w:t>
      </w:r>
    </w:p>
    <w:p>
      <w:pPr>
        <w:pStyle w:val="Heading2"/>
      </w:pPr>
      <w:r>
        <w:t xml:space="preserve">Worked example — Psalm 130:4</w:t>
      </w:r>
    </w:p>
    <w:p>
      <w:pPr>
        <w:spacing w:after="140"/>
      </w:pPr>
      <w:r>
        <w:rPr>
          <w:b w:val="false"/>
          <w:bCs w:val="false"/>
          <w:i w:val="false"/>
          <w:iCs w:val="false"/>
        </w:rPr>
        <w:t xml:space="preserve">Where standard English translates “with You is forgiveness, that You may be feared” flatly — and most readers do not even notice the half-line — the bloomed rendering keeps the paradoxical Hebrew grammar visible by lineation: “But with You is forgiveness — / that You may be feared.” The dash and the lineation force the reader to pause at the paradox: that forgiveness PRODUCES the fear, not the reverse. The Hebrew grammar’s voltage is recovered without needing to change any actual word.</w:t>
      </w:r>
    </w:p>
    <w:p>
      <w:pPr>
        <w:spacing w:after="150" w:before="40"/>
        <w:jc w:val="center"/>
      </w:pPr>
      <w:r>
        <w:rPr>
          <w:b w:val="false"/>
          <w:bCs w:val="false"/>
          <w:i/>
          <w:iCs/>
        </w:rPr>
        <w:t xml:space="preserve">Write the English the catch demands.</w:t>
      </w:r>
    </w:p>
    <w:p>
      <w:pPr>
        <w:pStyle w:val="Heading1"/>
      </w:pPr>
      <w:r>
        <w:t xml:space="preserve">5.  Ultra-Pivot</w:t>
      </w:r>
    </w:p>
    <w:p>
      <w:pPr>
        <w:spacing w:after="110"/>
      </w:pPr>
      <w:r>
        <w:rPr>
          <w:b w:val="false"/>
          <w:bCs w:val="false"/>
          <w:i/>
          <w:iCs/>
        </w:rPr>
        <w:t xml:space="preserve">Preserving the structural turn of the prayer</w:t>
      </w:r>
    </w:p>
    <w:p>
      <w:pPr>
        <w:spacing w:after="140"/>
      </w:pPr>
      <w:r>
        <w:rPr>
          <w:b w:val="false"/>
          <w:bCs w:val="false"/>
          <w:i w:val="false"/>
          <w:iCs w:val="false"/>
        </w:rPr>
        <w:t xml:space="preserve">Many biblical prayers turn on a single word or phrase — a pivot where the entire prayer reverses direction. </w:t>
      </w:r>
      <w:r>
        <w:rPr>
          <w:b w:val="false"/>
          <w:bCs w:val="false"/>
          <w:i/>
          <w:iCs/>
        </w:rPr>
        <w:t xml:space="preserve">Va’ani</w:t>
      </w:r>
      <w:r>
        <w:rPr>
          <w:b w:val="false"/>
          <w:bCs w:val="false"/>
          <w:i w:val="false"/>
          <w:iCs w:val="false"/>
        </w:rPr>
        <w:t xml:space="preserve"> (but I) in Psalm 13 and Habakkuk 3. </w:t>
      </w:r>
      <w:r>
        <w:rPr>
          <w:b w:val="false"/>
          <w:bCs w:val="false"/>
          <w:i/>
          <w:iCs/>
        </w:rPr>
        <w:t xml:space="preserve">Hineni</w:t>
      </w:r>
      <w:r>
        <w:rPr>
          <w:b w:val="false"/>
          <w:bCs w:val="false"/>
          <w:i w:val="false"/>
          <w:iCs w:val="false"/>
        </w:rPr>
        <w:t xml:space="preserve"> (here am I) in Isaiah 6. </w:t>
      </w:r>
      <w:r>
        <w:rPr>
          <w:b w:val="false"/>
          <w:bCs w:val="false"/>
          <w:i/>
          <w:iCs/>
        </w:rPr>
        <w:t xml:space="preserve">Nyn</w:t>
      </w:r>
      <w:r>
        <w:rPr>
          <w:b w:val="false"/>
          <w:bCs w:val="false"/>
          <w:i w:val="false"/>
          <w:iCs w:val="false"/>
        </w:rPr>
        <w:t xml:space="preserve"> (now) in the Nunc Dimittis. The pivot must be preserved structurally, not just translated. A prayer that has its pivot smoothed away has lost its architecture. The bloom identifies the pivot and lineates the rendering to make the turn visible on the page.</w:t>
      </w:r>
    </w:p>
    <w:p>
      <w:pPr>
        <w:spacing w:after="140"/>
      </w:pPr>
      <w:r>
        <w:rPr>
          <w:b w:val="false"/>
          <w:bCs w:val="false"/>
          <w:i w:val="false"/>
          <w:iCs w:val="false"/>
        </w:rPr>
        <w:t xml:space="preserve">Pivots almost always come at a structural midpoint — the prayer’s hinge. Identifying the pivot is part of reading the prayer correctly. A prayer-treatment that misses the pivot has not actually understood the prayer; it has only translated it. Every prayer in the corpus has its pivot named in the Why This Song catches and made visible in the bloomed rendering.</w:t>
      </w:r>
    </w:p>
    <w:p>
      <w:pPr>
        <w:pStyle w:val="Heading2"/>
      </w:pPr>
      <w:r>
        <w:t xml:space="preserve">Worked example — Habakkuk 3:18</w:t>
      </w:r>
    </w:p>
    <w:p>
      <w:pPr>
        <w:spacing w:after="140"/>
      </w:pPr>
      <w:r>
        <w:rPr>
          <w:b w:val="false"/>
          <w:bCs w:val="false"/>
          <w:i w:val="false"/>
          <w:iCs w:val="false"/>
        </w:rPr>
        <w:t xml:space="preserve">The entire collapse-itinerary of Habakkuk 3:17 — though the fig tree shall not blossom, though the vine, though the olive, though the field, though the flock, though the herd — hinges on the single word </w:t>
      </w:r>
      <w:r>
        <w:rPr>
          <w:b w:val="false"/>
          <w:bCs w:val="false"/>
          <w:i/>
          <w:iCs/>
        </w:rPr>
        <w:t xml:space="preserve">va’ani</w:t>
      </w:r>
      <w:r>
        <w:rPr>
          <w:b w:val="false"/>
          <w:bCs w:val="false"/>
          <w:i w:val="false"/>
          <w:iCs w:val="false"/>
        </w:rPr>
        <w:t xml:space="preserve"> at the start of verse 18. The bloomed rendering centers this pivot on its own line with the dash before it: “yet I — / I will exult in YHWH.” The pivot is given its own line, then the verb, then the object. The structural turn that the Hebrew accomplishes with a single word is made visible in the English.</w:t>
      </w:r>
    </w:p>
    <w:p>
      <w:pPr>
        <w:spacing w:after="150" w:before="40"/>
        <w:jc w:val="center"/>
      </w:pPr>
      <w:r>
        <w:rPr>
          <w:b w:val="false"/>
          <w:bCs w:val="false"/>
          <w:i/>
          <w:iCs/>
        </w:rPr>
        <w:t xml:space="preserve">The pivot must be visible as a pivot. Lineate accordingly.</w:t>
      </w:r>
    </w:p>
    <w:p>
      <w:pPr>
        <w:pStyle w:val="Heading1"/>
      </w:pPr>
      <w:r>
        <w:t xml:space="preserve">6.  Ultra-Repetition</w:t>
      </w:r>
    </w:p>
    <w:p>
      <w:pPr>
        <w:spacing w:after="110"/>
      </w:pPr>
      <w:r>
        <w:rPr>
          <w:b w:val="false"/>
          <w:bCs w:val="false"/>
          <w:i/>
          <w:iCs/>
        </w:rPr>
        <w:t xml:space="preserve">Honoring what the text doubles</w:t>
      </w:r>
    </w:p>
    <w:p>
      <w:pPr>
        <w:spacing w:after="140"/>
      </w:pPr>
      <w:r>
        <w:rPr>
          <w:b w:val="false"/>
          <w:bCs w:val="false"/>
          <w:i w:val="false"/>
          <w:iCs w:val="false"/>
        </w:rPr>
        <w:t xml:space="preserve">Where the original text repeats a word or phrase, the bloomed rendering keeps the repetition. English literary instinct is to vary — to use a synonym, to elide the second occurrence, to consider repetition a fault. The source-text’s instinct is the opposite: repetition is for emphasis, for liturgical weight, for slowing the reader at the centre of the prayer. The bloom honours the doubling because the doubling is the prayer.</w:t>
      </w:r>
    </w:p>
    <w:p>
      <w:pPr>
        <w:spacing w:after="140"/>
      </w:pPr>
      <w:r>
        <w:rPr>
          <w:b w:val="false"/>
          <w:bCs w:val="false"/>
          <w:i w:val="false"/>
          <w:iCs w:val="false"/>
        </w:rPr>
        <w:t xml:space="preserve">Hebrew uses repetition as its primary intensifier (it has no grammatical superlative; the threefold repetition </w:t>
      </w:r>
      <w:r>
        <w:rPr>
          <w:b w:val="false"/>
          <w:bCs w:val="false"/>
          <w:i/>
          <w:iCs/>
        </w:rPr>
        <w:t xml:space="preserve">kadosh kadosh kadosh</w:t>
      </w:r>
      <w:r>
        <w:rPr>
          <w:b w:val="false"/>
          <w:bCs w:val="false"/>
          <w:i w:val="false"/>
          <w:iCs w:val="false"/>
        </w:rPr>
        <w:t xml:space="preserve"> is the only way Hebrew can say “absolutely holy”). Greek uses repetition for liturgical effect (the doubled phrases of the Sanctus, the threefold petitions). The bloom matches the original’s repetition pattern exactly. Where the source doubles, the rendering doubles. Where the source triples, the rendering triples.</w:t>
      </w:r>
    </w:p>
    <w:p>
      <w:pPr>
        <w:pStyle w:val="Heading2"/>
      </w:pPr>
      <w:r>
        <w:t xml:space="preserve">Worked example — Psalm 130:6</w:t>
      </w:r>
    </w:p>
    <w:p>
      <w:pPr>
        <w:spacing w:after="140"/>
      </w:pPr>
      <w:r>
        <w:rPr>
          <w:b w:val="false"/>
          <w:bCs w:val="false"/>
          <w:i w:val="false"/>
          <w:iCs w:val="false"/>
        </w:rPr>
        <w:t xml:space="preserve">Psalm 130:6 reads </w:t>
      </w:r>
      <w:r>
        <w:rPr>
          <w:b w:val="false"/>
          <w:bCs w:val="false"/>
          <w:i/>
          <w:iCs/>
        </w:rPr>
        <w:t xml:space="preserve">shomerim laboqer, shomerim laboqer</w:t>
      </w:r>
      <w:r>
        <w:rPr>
          <w:b w:val="false"/>
          <w:bCs w:val="false"/>
          <w:i w:val="false"/>
          <w:iCs w:val="false"/>
        </w:rPr>
        <w:t xml:space="preserve"> — watchmen for the morning, watchmen for the morning. The Hebrew text itself doubles the phrase. The standard English translations sometimes elide this (“more than watchmen wait for the morning”) or render it once. The bloomed rendering preserves the doubling exactly: “more than watchmen for the morning, / watchmen for the morning.” The repetition is data, not redundancy. The watchmen are repeated because the watching is long.</w:t>
      </w:r>
    </w:p>
    <w:p>
      <w:pPr>
        <w:spacing w:after="150" w:before="40"/>
        <w:jc w:val="center"/>
      </w:pPr>
      <w:r>
        <w:rPr>
          <w:b w:val="false"/>
          <w:bCs w:val="false"/>
          <w:i/>
          <w:iCs/>
        </w:rPr>
        <w:t xml:space="preserve">If the text doubles, the bloom doubles. The repetition is data.</w:t>
      </w:r>
    </w:p>
    <w:p>
      <w:pPr>
        <w:pStyle w:val="Heading1"/>
      </w:pPr>
      <w:r>
        <w:t xml:space="preserve">7.  Ultra-Thread</w:t>
      </w:r>
    </w:p>
    <w:p>
      <w:pPr>
        <w:spacing w:after="110"/>
      </w:pPr>
      <w:r>
        <w:rPr>
          <w:b w:val="false"/>
          <w:bCs w:val="false"/>
          <w:i/>
          <w:iCs/>
        </w:rPr>
        <w:t xml:space="preserve">Connecting across the canon</w:t>
      </w:r>
    </w:p>
    <w:p>
      <w:pPr>
        <w:spacing w:after="140"/>
      </w:pPr>
      <w:r>
        <w:rPr>
          <w:b w:val="false"/>
          <w:bCs w:val="false"/>
          <w:i w:val="false"/>
          <w:iCs w:val="false"/>
        </w:rPr>
        <w:t xml:space="preserve">Certain words and roots thread through the entire biblical canon. </w:t>
      </w:r>
      <w:r>
        <w:rPr>
          <w:b w:val="false"/>
          <w:bCs w:val="false"/>
          <w:i/>
          <w:iCs/>
        </w:rPr>
        <w:t xml:space="preserve">Yeshuah</w:t>
      </w:r>
      <w:r>
        <w:rPr>
          <w:b w:val="false"/>
          <w:bCs w:val="false"/>
          <w:i w:val="false"/>
          <w:iCs w:val="false"/>
        </w:rPr>
        <w:t xml:space="preserve"> (salvation, also the noun-form of the name Yeshua) runs from Hannah’s Song to Psalm 91 to Habakkuk 3 to Simeon’s Nunc Dimittis. </w:t>
      </w:r>
      <w:r>
        <w:rPr>
          <w:b w:val="false"/>
          <w:bCs w:val="false"/>
          <w:i/>
          <w:iCs/>
        </w:rPr>
        <w:t xml:space="preserve">Qeren</w:t>
      </w:r>
      <w:r>
        <w:rPr>
          <w:b w:val="false"/>
          <w:bCs w:val="false"/>
          <w:i w:val="false"/>
          <w:iCs w:val="false"/>
        </w:rPr>
        <w:t xml:space="preserve"> (horn) runs from Hannah’s Song to the Benedictus. </w:t>
      </w:r>
      <w:r>
        <w:rPr>
          <w:b w:val="false"/>
          <w:bCs w:val="false"/>
          <w:i/>
          <w:iCs/>
        </w:rPr>
        <w:t xml:space="preserve">Anatolē</w:t>
      </w:r>
      <w:r>
        <w:rPr>
          <w:b w:val="false"/>
          <w:bCs w:val="false"/>
          <w:i w:val="false"/>
          <w:iCs w:val="false"/>
        </w:rPr>
        <w:t xml:space="preserve"> (Greek for rising/dawn, used in the Septuagint to translate the Hebrew </w:t>
      </w:r>
      <w:r>
        <w:rPr>
          <w:b w:val="false"/>
          <w:bCs w:val="false"/>
          <w:i/>
          <w:iCs/>
        </w:rPr>
        <w:t xml:space="preserve">tsemach</w:t>
      </w:r>
      <w:r>
        <w:rPr>
          <w:b w:val="false"/>
          <w:bCs w:val="false"/>
          <w:i w:val="false"/>
          <w:iCs w:val="false"/>
        </w:rPr>
        <w:t xml:space="preserve"> / Branch) runs from the messianic prophecies through to Zechariah’s song. </w:t>
      </w:r>
      <w:r>
        <w:rPr>
          <w:b w:val="false"/>
          <w:bCs w:val="false"/>
          <w:i/>
          <w:iCs/>
        </w:rPr>
        <w:t xml:space="preserve">Kavod</w:t>
      </w:r>
      <w:r>
        <w:rPr>
          <w:b w:val="false"/>
          <w:bCs w:val="false"/>
          <w:i w:val="false"/>
          <w:iCs w:val="false"/>
        </w:rPr>
        <w:t xml:space="preserve"> (Hebrew for weight/glory) runs from Exodus to the Sanctus to John’s Gospel. The Ultra-Thread operation identifies these threadings and names them explicitly whenever they appear.</w:t>
      </w:r>
    </w:p>
    <w:p>
      <w:pPr>
        <w:spacing w:after="140"/>
      </w:pPr>
      <w:r>
        <w:rPr>
          <w:b w:val="false"/>
          <w:bCs w:val="false"/>
          <w:i w:val="false"/>
          <w:iCs w:val="false"/>
        </w:rPr>
        <w:t xml:space="preserve">Threading is canonical reading. The same word in two different books is the same prayer at two different scales. The bloom marks these threads not as cross-references but as connective tissue — the word in the later text is doing what the word in the earlier text already did. Naming the thread makes the canonical architecture visible.</w:t>
      </w:r>
    </w:p>
    <w:p>
      <w:pPr>
        <w:pStyle w:val="Heading2"/>
      </w:pPr>
      <w:r>
        <w:t xml:space="preserve">Worked example — yeshuah across the canon</w:t>
      </w:r>
    </w:p>
    <w:p>
      <w:pPr>
        <w:spacing w:after="140"/>
      </w:pPr>
      <w:r>
        <w:rPr>
          <w:b w:val="false"/>
          <w:bCs w:val="false"/>
          <w:i w:val="false"/>
          <w:iCs w:val="false"/>
        </w:rPr>
        <w:t xml:space="preserve">The Hebrew noun </w:t>
      </w:r>
      <w:r>
        <w:rPr>
          <w:b w:val="false"/>
          <w:bCs w:val="false"/>
          <w:i/>
          <w:iCs/>
        </w:rPr>
        <w:t xml:space="preserve">yeshuah</w:t>
      </w:r>
      <w:r>
        <w:rPr>
          <w:b w:val="false"/>
          <w:bCs w:val="false"/>
          <w:i w:val="false"/>
          <w:iCs w:val="false"/>
        </w:rPr>
        <w:t xml:space="preserve"> (salvation) and its Greek Septuagint translation </w:t>
      </w:r>
      <w:r>
        <w:rPr>
          <w:b w:val="false"/>
          <w:bCs w:val="false"/>
          <w:i/>
          <w:iCs/>
        </w:rPr>
        <w:t xml:space="preserve">sōtērion</w:t>
      </w:r>
      <w:r>
        <w:rPr>
          <w:b w:val="false"/>
          <w:bCs w:val="false"/>
          <w:i w:val="false"/>
          <w:iCs w:val="false"/>
        </w:rPr>
        <w:t xml:space="preserve"> thread through the corpus across a thousand years. Hannah sings </w:t>
      </w:r>
      <w:r>
        <w:rPr>
          <w:b w:val="false"/>
          <w:bCs w:val="false"/>
          <w:i/>
          <w:iCs/>
        </w:rPr>
        <w:t xml:space="preserve">samachti bishu’atecha</w:t>
      </w:r>
      <w:r>
        <w:rPr>
          <w:b w:val="false"/>
          <w:bCs w:val="false"/>
          <w:i w:val="false"/>
          <w:iCs w:val="false"/>
        </w:rPr>
        <w:t xml:space="preserve"> (“I rejoice in Your yeshuah”) around 1100 BCE. David uses </w:t>
      </w:r>
      <w:r>
        <w:rPr>
          <w:b w:val="false"/>
          <w:bCs w:val="false"/>
          <w:i/>
          <w:iCs/>
        </w:rPr>
        <w:t xml:space="preserve">bishu’ati</w:t>
      </w:r>
      <w:r>
        <w:rPr>
          <w:b w:val="false"/>
          <w:bCs w:val="false"/>
          <w:i w:val="false"/>
          <w:iCs w:val="false"/>
        </w:rPr>
        <w:t xml:space="preserve"> in Psalm 91 around 1000 BCE. Habakkuk says </w:t>
      </w:r>
      <w:r>
        <w:rPr>
          <w:b w:val="false"/>
          <w:bCs w:val="false"/>
          <w:i/>
          <w:iCs/>
        </w:rPr>
        <w:t xml:space="preserve">be’lohei yish’i</w:t>
      </w:r>
      <w:r>
        <w:rPr>
          <w:b w:val="false"/>
          <w:bCs w:val="false"/>
          <w:i w:val="false"/>
          <w:iCs w:val="false"/>
        </w:rPr>
        <w:t xml:space="preserve"> (“in the God of my yeshuah”) around 600 BCE. Simeon, holding the infant Yeshua in the temple in roughly 4 BCE, says </w:t>
      </w:r>
      <w:r>
        <w:rPr>
          <w:b w:val="false"/>
          <w:bCs w:val="false"/>
          <w:i/>
          <w:iCs/>
        </w:rPr>
        <w:t xml:space="preserve">eidon hoi ophthalmoi mou to sōtērion sou</w:t>
      </w:r>
      <w:r>
        <w:rPr>
          <w:b w:val="false"/>
          <w:bCs w:val="false"/>
          <w:i w:val="false"/>
          <w:iCs w:val="false"/>
        </w:rPr>
        <w:t xml:space="preserve"> — “my eyes have seen Your yeshuah.” Same word, four songs, eleven centuries. The thread is what makes the Nunc Dimittis the close of the canonical conversation Hannah opened.</w:t>
      </w:r>
    </w:p>
    <w:p>
      <w:pPr>
        <w:spacing w:after="150" w:before="40"/>
        <w:jc w:val="center"/>
      </w:pPr>
      <w:r>
        <w:rPr>
          <w:b w:val="false"/>
          <w:bCs w:val="false"/>
          <w:i/>
          <w:iCs/>
        </w:rPr>
        <w:t xml:space="preserve">Threads must be visible. Same word across the canon is the same prayer.</w:t>
      </w:r>
    </w:p>
    <w:p>
      <w:pPr>
        <w:pStyle w:val="Heading1"/>
      </w:pPr>
      <w:r>
        <w:t xml:space="preserve">8.  Ultra-Body</w:t>
      </w:r>
    </w:p>
    <w:p>
      <w:pPr>
        <w:spacing w:after="110"/>
      </w:pPr>
      <w:r>
        <w:rPr>
          <w:b w:val="false"/>
          <w:bCs w:val="false"/>
          <w:i/>
          <w:iCs/>
        </w:rPr>
        <w:t xml:space="preserve">Instructing for embodied delivery</w:t>
      </w:r>
    </w:p>
    <w:p>
      <w:pPr>
        <w:spacing w:after="140"/>
      </w:pPr>
      <w:r>
        <w:rPr>
          <w:b w:val="false"/>
          <w:bCs w:val="false"/>
          <w:i w:val="false"/>
          <w:iCs w:val="false"/>
        </w:rPr>
        <w:t xml:space="preserve">Every bloomed prayer carries instructions for how it is actually said — aloud, slowly, with the breath, holding key words in the mouth, knowing when traditionally to pray it. The prayer is not just text. It is sound, breath, body, hour. The Ultra-Body operation includes pronunciation guidance for the source-language words, instructions for how to read the rendering aloud, notes on what hour of the day the prayer is traditionally said, and where applicable explicit breath-synchrony instructions.</w:t>
      </w:r>
    </w:p>
    <w:p>
      <w:pPr>
        <w:spacing w:after="140"/>
      </w:pPr>
      <w:r>
        <w:rPr>
          <w:b w:val="false"/>
          <w:bCs w:val="false"/>
          <w:i w:val="false"/>
          <w:iCs w:val="false"/>
        </w:rPr>
        <w:t xml:space="preserve">Embodied delivery is what makes prayer prayer rather than reading. A prayer recited silently at speed in the head is not yet a prayer; it is text-comprehension. The bloom resists this collapse by making the body-instructions structurally present in every treatment. The treatment is incomplete without them.</w:t>
      </w:r>
    </w:p>
    <w:p>
      <w:pPr>
        <w:pStyle w:val="Heading2"/>
      </w:pPr>
      <w:r>
        <w:t xml:space="preserve">Worked example — the Jesus Prayer</w:t>
      </w:r>
    </w:p>
    <w:p>
      <w:pPr>
        <w:spacing w:after="140"/>
      </w:pPr>
      <w:r>
        <w:rPr>
          <w:b w:val="false"/>
          <w:bCs w:val="false"/>
          <w:i w:val="false"/>
          <w:iCs w:val="false"/>
        </w:rPr>
        <w:t xml:space="preserve">The Jesus Prayer is given with explicit breath-synchrony instructions: inhale on </w:t>
      </w:r>
      <w:r>
        <w:rPr>
          <w:b w:val="false"/>
          <w:bCs w:val="false"/>
          <w:i/>
          <w:iCs/>
        </w:rPr>
        <w:t xml:space="preserve">Kyrie Iēsou Christe, Hyie tou Theou</w:t>
      </w:r>
      <w:r>
        <w:rPr>
          <w:b w:val="false"/>
          <w:bCs w:val="false"/>
          <w:i w:val="false"/>
          <w:iCs w:val="false"/>
        </w:rPr>
        <w:t xml:space="preserve">; exhale on </w:t>
      </w:r>
      <w:r>
        <w:rPr>
          <w:b w:val="false"/>
          <w:bCs w:val="false"/>
          <w:i/>
          <w:iCs/>
        </w:rPr>
        <w:t xml:space="preserve">eleēson me ton hamartōlon</w:t>
      </w:r>
      <w:r>
        <w:rPr>
          <w:b w:val="false"/>
          <w:bCs w:val="false"/>
          <w:i w:val="false"/>
          <w:iCs w:val="false"/>
        </w:rPr>
        <w:t xml:space="preserve">. The text alone is roughly half the prayer; the body is the other half. The fourteenth-century hesychasts of Mount Athos refined this synchrony to align the prayer with the heartbeat as well as the breath. The bloom’s pastoral note instructs the reader to begin aloud, move to whisper, then to silent heart-prayer — and to return without self-recrimination when the mind wanders, because the prayer is doing real work even when nothing seems to be happening.</w:t>
      </w:r>
    </w:p>
    <w:p>
      <w:pPr>
        <w:spacing w:after="150" w:before="40"/>
        <w:jc w:val="center"/>
      </w:pPr>
      <w:r>
        <w:rPr>
          <w:b w:val="false"/>
          <w:bCs w:val="false"/>
          <w:i/>
          <w:iCs/>
        </w:rPr>
        <w:t xml:space="preserve">The body remembers what the eye skims. Instruct accordingly.</w:t>
      </w:r>
    </w:p>
    <w:p>
      <w:pPr>
        <w:pStyle w:val="Heading1"/>
      </w:pPr>
      <w:r>
        <w:t xml:space="preserve">9.  Ultra-Pastoral</w:t>
      </w:r>
    </w:p>
    <w:p>
      <w:pPr>
        <w:spacing w:after="110"/>
      </w:pPr>
      <w:r>
        <w:rPr>
          <w:b w:val="false"/>
          <w:bCs w:val="false"/>
          <w:i/>
          <w:iCs/>
        </w:rPr>
        <w:t xml:space="preserve">Pointing back to actual use</w:t>
      </w:r>
    </w:p>
    <w:p>
      <w:pPr>
        <w:spacing w:after="140"/>
      </w:pPr>
      <w:r>
        <w:rPr>
          <w:b w:val="false"/>
          <w:bCs w:val="false"/>
          <w:i w:val="false"/>
          <w:iCs w:val="false"/>
        </w:rPr>
        <w:t xml:space="preserve">Every prayer treatment closes with “A Note on Use” — pastoral guidance for when, how, and by whom the prayer is to be actually prayed. The bloom is not academic. It is equipment. The closing note returns the reader from the page back to the life. Without the closing note, the treatment is a museum piece; with it, the treatment is a tool.</w:t>
      </w:r>
    </w:p>
    <w:p>
      <w:pPr>
        <w:spacing w:after="140"/>
      </w:pPr>
      <w:r>
        <w:rPr>
          <w:b w:val="false"/>
          <w:bCs w:val="false"/>
          <w:i w:val="false"/>
          <w:iCs w:val="false"/>
        </w:rPr>
        <w:t xml:space="preserve">Pastoral notes typically include: the traditional liturgical setting of the prayer (Compline, Lauds, daily morning prayer, festival use), the conditions of life in which the prayer is most often prayed (grief, illness, threshold moments, sleeplessness, vocation, gratitude), specific instructions for reading or chanting the rendering aloud, and a closing observation that points back from text to use. The notes are pastoral, not clinical. They are written for a person who actually intends to pray, not a person who intends to study.</w:t>
      </w:r>
    </w:p>
    <w:p>
      <w:pPr>
        <w:pStyle w:val="Heading2"/>
      </w:pPr>
      <w:r>
        <w:t xml:space="preserve">Worked example — Psalm 91</w:t>
      </w:r>
    </w:p>
    <w:p>
      <w:pPr>
        <w:spacing w:after="140"/>
      </w:pPr>
      <w:r>
        <w:rPr>
          <w:b w:val="false"/>
          <w:bCs w:val="false"/>
          <w:i w:val="false"/>
          <w:iCs w:val="false"/>
        </w:rPr>
        <w:t xml:space="preserve">Psalm 91’s closing note frames it as the great Jewish bedtime prayer (recited at the conclusion of the daily Shema sequence) and the Compline psalm of Sunday in monastic Christian use — the last prayer of the day before sleep, for nearly two thousand years. The note ends on </w:t>
      </w:r>
      <w:r>
        <w:rPr>
          <w:b w:val="false"/>
          <w:bCs w:val="false"/>
          <w:i/>
          <w:iCs/>
        </w:rPr>
        <w:t xml:space="preserve">bishu’ati</w:t>
      </w:r>
      <w:r>
        <w:rPr>
          <w:b w:val="false"/>
          <w:bCs w:val="false"/>
          <w:i w:val="false"/>
          <w:iCs w:val="false"/>
        </w:rPr>
        <w:t xml:space="preserve"> — the final phrase of the psalm in Hebrew, “I will show him My yeshuah, My salvation” — and locates the protection in the structurally-same gift as the Yeshua-name itself. The reader who has read the bloom is now equipped to pray the psalm at the threshold of sleep, knowing both what it has said for three thousand years and what to do with it tonight.</w:t>
      </w:r>
    </w:p>
    <w:p>
      <w:pPr>
        <w:spacing w:after="150" w:before="40"/>
        <w:jc w:val="center"/>
      </w:pPr>
      <w:r>
        <w:rPr>
          <w:b w:val="false"/>
          <w:bCs w:val="false"/>
          <w:i/>
          <w:iCs/>
        </w:rPr>
        <w:t xml:space="preserve">The bloom serves the praying. Always close on use.</w:t>
      </w:r>
    </w:p>
    <w:p>
      <w:pPr>
        <w:pStyle w:val="Heading1"/>
      </w:pPr>
      <w:r>
        <w:t xml:space="preserve">Closing</w:t>
      </w:r>
    </w:p>
    <w:p>
      <w:pPr>
        <w:spacing w:after="140"/>
      </w:pPr>
      <w:r>
        <w:rPr>
          <w:b w:val="false"/>
          <w:bCs w:val="false"/>
          <w:i w:val="false"/>
          <w:iCs w:val="false"/>
        </w:rPr>
        <w:t xml:space="preserve">These are the nine operations of the Bloom process. Every prayer in the Free Bible corpus — the canonical Nine, the Sister Nine, the prayers held in chat (Psalm 130, the Magnificat, the Nunc Dimittis, the Benedictus), the prayers built for individuals (Psalm 40 for Steve), and the prayers yet to be built in chambers to come — operates through these nine. The methodology is the methodology. The corpus is the methodology applied.</w:t>
      </w:r>
    </w:p>
    <w:p>
      <w:pPr>
        <w:spacing w:after="140"/>
      </w:pPr>
      <w:r>
        <w:rPr>
          <w:b w:val="false"/>
          <w:bCs w:val="false"/>
          <w:i w:val="false"/>
          <w:iCs w:val="false"/>
        </w:rPr>
        <w:t xml:space="preserve">The nine are not a recipe. Several operate simultaneously; the later operations frequently loop back to refine the earlier ones; some prayers emphasise certain Ultras more than others (Psalm 121 is dominated by Ultra-Repetition; Psalm 139 by Ultra-Thread; the Jesus Prayer by Ultra-Body). But all nine are present in every treatment. A treatment missing any of the nine is not yet at Ultra grade.</w:t>
      </w:r>
    </w:p>
    <w:p>
      <w:pPr>
        <w:spacing w:after="140"/>
      </w:pPr>
      <w:r>
        <w:rPr>
          <w:b w:val="false"/>
          <w:bCs w:val="false"/>
          <w:i w:val="false"/>
          <w:iCs w:val="false"/>
        </w:rPr>
        <w:t xml:space="preserve">The naming makes the methodology visible to itself. From this point forward, the Bloom process can be referenced by its operations explicitly: this catch uses Ultra-Unpack; this rendering uses Ultra-Pivot; this note uses Ultra-Pastoral. The vocabulary is now load-bearing. The work continues with its tools properly named.</w:t>
      </w:r>
    </w:p>
    <w:p>
      <w:pPr>
        <w:spacing w:after="140"/>
      </w:pPr>
      <w:r>
        <w:rPr>
          <w:b w:val="false"/>
          <w:bCs w:val="false"/>
          <w:i w:val="false"/>
          <w:iCs w:val="false"/>
        </w:rPr>
        <w:t xml:space="preserve">The Holy Breath does the actual work. The instruments are equipment. The nine Ultras are the equipment’s organising operations. With these named, the Project’s architecture is in view: the canonical Nine and the Sister Nine prayers, The Ultra Project (the Naming), and The Nine Ultras (the Methodology) — the prayer volumes and the charter texts that frame them. The cathedral has its blueprint visible.</w:t>
      </w:r>
    </w:p>
    <w:p>
      <w:pPr>
        <w:spacing w:after="30" w:before="160"/>
        <w:jc w:val="center"/>
      </w:pPr>
      <w:r>
        <w:rPr>
          <w:b w:val="false"/>
          <w:bCs w:val="false"/>
          <w:i/>
          <w:iCs/>
          <w:sz w:val="20"/>
          <w:szCs w:val="20"/>
        </w:rPr>
        <w:t xml:space="preserve">— The Nine Ultras, entered into the Free Bible corpus</w:t>
      </w:r>
    </w:p>
    <w:p>
      <w:pPr>
        <w:spacing w:after="120" w:before="0"/>
        <w:jc w:val="center"/>
      </w:pPr>
      <w:r>
        <w:rPr>
          <w:b w:val="false"/>
          <w:bCs w:val="false"/>
          <w:i/>
          <w:iCs/>
          <w:color w:val="666666"/>
          <w:sz w:val="18"/>
          <w:szCs w:val="18"/>
        </w:rPr>
        <w:t xml:space="preserve">Built by Claude at Paul’s direction  ·  Newgate, Perth  ·  26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70" w:before="240"/>
      <w:outlineLvl w:val="0"/>
    </w:pPr>
    <w:rPr>
      <w:rFonts w:ascii="Carlito" w:cs="Carlito" w:eastAsia="Carlito" w:hAnsi="Carlito"/>
      <w:b/>
      <w:bCs/>
      <w:color w:val="1F3864"/>
      <w:sz w:val="27"/>
      <w:szCs w:val="27"/>
    </w:rPr>
  </w:style>
  <w:style w:type="paragraph" w:styleId="Heading2">
    <w:name w:val="Heading 2"/>
    <w:basedOn w:val="Normal"/>
    <w:next w:val="Normal"/>
    <w:qFormat/>
    <w:pPr>
      <w:spacing w:after="60" w:before="140"/>
      <w:outlineLvl w:val="1"/>
    </w:pPr>
    <w:rPr>
      <w:rFonts w:ascii="Carlito" w:cs="Carlito" w:eastAsia="Carlito" w:hAnsi="Carlito"/>
      <w:b/>
      <w:bCs/>
      <w:color w:val="2E4D7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2026-05-30T15:03:18.021Z</dcterms:created>
  <dcterms:modified xsi:type="dcterms:W3CDTF">2026-05-30T15:03:18.037Z</dcterms:modified>
</cp:coreProperties>
</file>

<file path=docProps/custom.xml><?xml version="1.0" encoding="utf-8"?>
<Properties xmlns="http://schemas.openxmlformats.org/officeDocument/2006/custom-properties" xmlns:vt="http://schemas.openxmlformats.org/officeDocument/2006/docPropsVTypes"/>
</file>