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מֵעִם 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CUTTING, 6 September 2026 — one line, found by the second hand running the diff cold. THE ROUND-TRIP PANEL STILL CARRIED THE SUPERSEDED READING. Its v2 read עֶזְרָתִי מִיְּהוָה — my help from-YHWH — which was faithful to the bloom as it stood before the second cutting and became stale the moment the bloom changed. Corrected to עֶזְרָתִי מֵעִם יְהוָה. The ezrah expansion is left standing because the round-trip note already declares it; the flattened preposition was not declared anywhere, because it was not a choice.</w:t>
      </w:r>
    </w:p>
    <w:p>
      <w:pPr>
        <w:keepLines/>
        <w:jc w:val="center"/>
      </w:pPr>
      <w:r>
        <w:rPr>
          <w:b w:val="0"/>
          <w:i w:val="0"/>
          <w:sz w:val="20"/>
        </w:rPr>
        <w:t>AND THE CORRECTION PRODUCES THE EXPERIMENT’S BEST RESULT SO FAR, which is why it is worth printing rather than merely fixing. The round-trip asks whether the English bloom, carried back into Hebrew by a hand that cannot see the source, lands near the original. At this word it now lands ON it — מֵעִם for מֵעִם, exactly. The first cutting’s "from" could not have; "from-with" does. A recovery that round-trips to the source word is a stronger result than one that merely reads well.</w:t>
      </w:r>
    </w:p>
    <w:p>
      <w:pPr>
        <w:keepLines/>
        <w:jc w:val="center"/>
      </w:pPr>
      <w:r>
        <w:rPr>
          <w:b w:val="0"/>
          <w:i w:val="0"/>
          <w:sz w:val="20"/>
        </w:rPr>
        <w:t>AND IT REPAIRS THE MEM ENVELOPE IN THE SECOND PANEL. With מִיְּהוָה standing, the round-trip carried a mem-compound in the right verse but the wrong form, so the bracket that the source holds — me’ayin, me’im at the head; mi-kol-ra, me’atah at the foot — was broken in the re-composition. It now stands in both panels. Verified programmatically: five mem-initial forms across the document before the cut, four after, and the four are the four the envelope names.</w:t>
      </w:r>
    </w:p>
    <w:p>
      <w:pPr>
        <w:keepLines/>
        <w:jc w:val="center"/>
      </w:pPr>
      <w:r>
        <w:rPr>
          <w:b w:val="0"/>
          <w:i w:val="0"/>
          <w:sz w:val="20"/>
        </w:rPr>
        <w:t>THE STANDING RULE THIS CONFIRMS, from the Production Specification: any change to a bloomed rendering requires re-checking the round-trip IN THE SAME PASS. The second cutting repaired the round-trip’s nefesh gloss and did not revisit its preposition. Two repairs were owed to that panel and one was made — which is exactly the failure a single hand cannot see, because it had already attended to that panel and recorded doing so.</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