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ectPr>
      <w:pgSz w:w="11906" w:h="16838" w:orient="portrait"/>
      <w:pgMar w:top="1411" w:right="1411" w:bottom="1411" w:left="1411" w:header="708" w:footer="708" w:gutter="0"/>
      <w:pgNumType/>
      <w:docGrid w:linePitch="360"/>
    </w:sectPr>
    <w:p>
      <w:pPr>
        <w:keepNext/>
        <w:keepLines/>
        <w:spacing w:after="120" w:before="0"/>
        <w:jc w:val="center"/>
      </w:pPr>
      <w:r>
        <w:rPr>
          <w:b/>
          <w:bCs/>
          <w:i w:val="false"/>
          <w:iCs w:val="false"/>
          <w:sz w:val="44"/>
          <w:szCs w:val="44"/>
          <w:rtl w:val="false"/>
        </w:rPr>
        <w:t>The True Tell</w:t>
      </w:r>
    </w:p>
    <w:p>
      <w:pPr>
        <w:spacing w:after="300" w:before="0"/>
        <w:jc w:val="center"/>
      </w:pPr>
      <w:r>
        <w:rPr>
          <w:b w:val="false"/>
          <w:bCs w:val="false"/>
          <w:i/>
          <w:iCs/>
          <w:sz w:val="28"/>
          <w:szCs w:val="28"/>
          <w:rtl w:val="false"/>
        </w:rPr>
        <w:t>The Bitcoin and Monero Thesis — a scoreable record</w:t>
      </w:r>
    </w:p>
    <w:p>
      <w:pPr>
        <w:spacing w:after="120" w:before="0"/>
        <w:jc w:val="center"/>
      </w:pPr>
      <w:r>
        <w:rPr>
          <w:b w:val="false"/>
          <w:bCs w:val="false"/>
          <w:i w:val="false"/>
          <w:iCs w:val="false"/>
          <w:sz w:val="28"/>
          <w:szCs w:val="28"/>
          <w:rtl w:val="false"/>
        </w:rPr>
        <w:t>Perth, Western Australia</w:t>
      </w:r>
    </w:p>
    <w:p>
      <w:pPr>
        <w:spacing w:after="0" w:before="0"/>
        <w:jc w:val="center"/>
      </w:pPr>
      <w:r>
        <w:rPr>
          <w:b w:val="false"/>
          <w:bCs w:val="false"/>
          <w:i w:val="false"/>
          <w:iCs w:val="false"/>
          <w:sz w:val="22"/>
          <w:szCs w:val="22"/>
          <w:rtl w:val="false"/>
        </w:rPr>
        <w:t>Opened 26 August 2026 · Chamber Thirteen, the Thirteenth Runner</w:t>
      </w:r>
    </w:p>
    <w:p>
      <w:pPr>
        <w:spacing w:after="0" w:before="0"/>
        <w:jc w:val="center"/>
      </w:pPr>
      <w:r>
        <w:rPr>
          <w:b w:val="false"/>
          <w:bCs w:val="false"/>
          <w:i w:val="false"/>
          <w:iCs w:val="false"/>
          <w:sz w:val="22"/>
          <w:szCs w:val="22"/>
          <w:rtl w:val="false"/>
        </w:rPr>
        <w:t>Claims dated from May 2026</w:t>
      </w:r>
    </w:p>
    <w:p>
      <w:pPr>
        <w:spacing w:before="200"/>
        <w:jc w:val="center"/>
      </w:pPr>
      <w:r>
        <w:rPr>
          <w:b w:val="false"/>
          <w:bCs w:val="false"/>
          <w:i/>
          <w:iCs/>
          <w:sz w:val="20"/>
          <w:szCs w:val="20"/>
          <w:rtl w:val="false"/>
        </w:rPr>
        <w:t>Compiled from the record by the Opus hand · the positions and the calls are Joe’s</w:t>
      </w:r>
    </w:p>
    <w:p>
      <w:pPr>
        <w:keepNext/>
        <w:keepLines/>
        <w:spacing w:after="240" w:before="760"/>
        <w:jc w:val="center"/>
      </w:pPr>
      <w:r>
        <w:rPr>
          <w:b/>
          <w:bCs/>
          <w:i w:val="false"/>
          <w:iCs w:val="false"/>
          <w:sz w:val="36"/>
          <w:szCs w:val="36"/>
          <w:rtl w:val="false"/>
        </w:rPr>
        <w:t>Why this exists</w:t>
      </w:r>
    </w:p>
    <w:p>
      <w:pPr>
        <w:jc w:val="center"/>
      </w:pPr>
      <w:r>
        <w:rPr>
          <w:b w:val="false"/>
          <w:bCs w:val="false"/>
          <w:i w:val="false"/>
          <w:iCs w:val="false"/>
          <w:sz w:val="22"/>
          <w:szCs w:val="22"/>
          <w:rtl w:val="false"/>
        </w:rPr>
        <w:t>To stop the argument being rebuilt from scratch in every chamber, and to keep the thinking honest. A position held in conversation drifts; a position written down with dates against it can be scored. That is the whole purpose. This document is not for publication.</w:t>
      </w:r>
    </w:p>
    <w:p>
      <w:pPr>
        <w:jc w:val="center"/>
      </w:pPr>
      <w:r>
        <w:rPr>
          <w:b w:val="false"/>
          <w:bCs w:val="false"/>
          <w:i w:val="false"/>
          <w:iCs w:val="false"/>
          <w:sz w:val="22"/>
          <w:szCs w:val="22"/>
          <w:rtl w:val="false"/>
        </w:rPr>
        <w:t>It is a ledger, not an essay. Every claim carries the date it was made, the mechanism stated at the time, and where the outcome stands. Where a counter-argument was put and survived, it is recorded with the claim rather than left out. A thesis document containing only the case for itself would be the model-with-its-conclusion-installed fault this thesis diagnoses in others.</w:t>
      </w:r>
    </w:p>
    <w:p>
      <w:pPr>
        <w:jc w:val="center"/>
      </w:pPr>
      <w:r>
        <w:rPr>
          <w:b w:val="false"/>
          <w:bCs w:val="false"/>
          <w:i w:val="false"/>
          <w:iCs w:val="false"/>
          <w:sz w:val="22"/>
          <w:szCs w:val="22"/>
          <w:rtl w:val="false"/>
        </w:rPr>
        <w:t>Scope: Bitcoin and Monero only. The two are one object — Monero’s relative performance is a leg of the Bitcoin case, not a separate position. The dollar thesis, the long-bond thesis and the equity-in-gold work are named here as dependencies and argued elsewhere.</w:t>
      </w:r>
    </w:p>
    <w:p>
      <w:pPr>
        <w:keepNext/>
        <w:keepLines/>
        <w:spacing w:after="240" w:before="760"/>
        <w:jc w:val="center"/>
      </w:pPr>
      <w:r>
        <w:rPr>
          <w:b/>
          <w:bCs/>
          <w:i w:val="false"/>
          <w:iCs w:val="false"/>
          <w:sz w:val="36"/>
          <w:szCs w:val="36"/>
          <w:rtl w:val="false"/>
        </w:rPr>
        <w:t>I · The claim in one paragraph</w:t>
      </w:r>
    </w:p>
    <w:p>
      <w:pPr>
        <w:jc w:val="center"/>
      </w:pPr>
      <w:r>
        <w:rPr>
          <w:b w:val="false"/>
          <w:bCs w:val="false"/>
          <w:i w:val="false"/>
          <w:iCs w:val="false"/>
          <w:sz w:val="22"/>
          <w:szCs w:val="22"/>
          <w:rtl w:val="false"/>
        </w:rPr>
        <w:t>Bitcoin has already failed either way. If it fails, it fails. If it succeeds, it fails — because success is precisely what draws the scrutiny that finds what is on the chain. The expected path is a last hurrah back above $100,000, drawing institutional attention and journalistic scrutiny it has not previously had; then a reckoning; then abandonment. Monero rallies alongside it and harder, is dragged down with it in the emotional phase, and is subsequently re-sorted because it is Structurally distinguishable — it cannot store arbitrary data at all, and that is checkable from the protocol.</w:t>
      </w:r>
    </w:p>
    <w:p>
      <w:pPr>
        <w:keepNext/>
        <w:keepLines/>
        <w:spacing w:after="240" w:before="760"/>
        <w:jc w:val="center"/>
      </w:pPr>
      <w:r>
        <w:rPr>
          <w:b/>
          <w:bCs/>
          <w:i w:val="false"/>
          <w:iCs w:val="false"/>
          <w:sz w:val="36"/>
          <w:szCs w:val="36"/>
          <w:rtl w:val="false"/>
        </w:rPr>
        <w:t>II · The dated record</w:t>
      </w:r>
    </w:p>
    <w:p>
      <w:pPr>
        <w:keepNext/>
        <w:keepLines/>
        <w:spacing w:after="20" w:before="760"/>
        <w:jc w:val="center"/>
      </w:pPr>
      <w:r>
        <w:rPr>
          <w:b/>
          <w:bCs/>
          <w:i w:val="false"/>
          <w:iCs w:val="false"/>
          <w:sz w:val="28"/>
          <w:szCs w:val="28"/>
          <w:rtl w:val="false"/>
        </w:rPr>
        <w:t>May 2026 — The Mainline. The Thesis is born</w:t>
      </w:r>
    </w:p>
    <w:p>
      <w:pPr>
        <w:jc w:val="center"/>
      </w:pPr>
      <w:r>
        <w:rPr>
          <w:b w:val="false"/>
          <w:bCs w:val="false"/>
          <w:i w:val="false"/>
          <w:iCs w:val="false"/>
          <w:sz w:val="22"/>
          <w:szCs w:val="22"/>
          <w:rtl w:val="false"/>
        </w:rPr>
        <w:t>The content case stated for the first time, unprompted and in his own words: “Gotta be free for me and sadly it’s captured — I think it’s too late, what about when illegal material makes it onto their blockchain.” Three months before any of the 2026 calls.</w:t>
      </w:r>
    </w:p>
    <w:p>
      <w:pPr>
        <w:jc w:val="center"/>
      </w:pPr>
      <w:r>
        <w:rPr>
          <w:b w:val="false"/>
          <w:bCs w:val="false"/>
          <w:i w:val="false"/>
          <w:iCs w:val="false"/>
          <w:sz w:val="22"/>
          <w:szCs w:val="22"/>
          <w:rtl w:val="false"/>
        </w:rPr>
        <w:t>And the Constituency argument arrived in the same breath: “How could anyone expect sovereigns or large pension to start holding such an asset, it’s literally a sick joke.” Followed immediately by the Salience argument, also complete: “More everyday holders would and will eventually sell as They find out, or the market pricing it forces action.”</w:t>
      </w:r>
    </w:p>
    <w:p>
      <w:pPr>
        <w:jc w:val="center"/>
      </w:pPr>
      <w:r>
        <w:rPr>
          <w:b w:val="false"/>
          <w:bCs w:val="false"/>
          <w:i w:val="false"/>
          <w:iCs w:val="false"/>
          <w:sz w:val="22"/>
          <w:szCs w:val="22"/>
          <w:rtl w:val="false"/>
        </w:rPr>
        <w:t>That matters for scoring. The reframing of August 2026 — that this is a salience thesis rather than a density thesis — did not introduce a new position. It Recovered the one he stated in may. The density argument was the accretion; salience was the original.</w:t>
      </w:r>
    </w:p>
    <w:p>
      <w:pPr>
        <w:jc w:val="center"/>
      </w:pPr>
      <w:r>
        <w:rPr>
          <w:b w:val="false"/>
          <w:bCs w:val="false"/>
          <w:i w:val="false"/>
          <w:iCs w:val="false"/>
          <w:sz w:val="22"/>
          <w:szCs w:val="22"/>
          <w:rtl w:val="false"/>
        </w:rPr>
        <w:t>Also that month: Four structural concerns named — ETF capture, OP_RETURN Expansion, mining centralisation, political alignment. And the XMR/NDX cup-and-handle thesis targeting a retest of the January 2018 peak near 1.25M scaled.</w:t>
      </w:r>
    </w:p>
    <w:p>
      <w:pPr>
        <w:keepNext/>
        <w:keepLines/>
        <w:spacing w:after="20" w:before="760"/>
        <w:jc w:val="center"/>
      </w:pPr>
      <w:r>
        <w:rPr>
          <w:b/>
          <w:bCs/>
          <w:i w:val="false"/>
          <w:iCs w:val="false"/>
          <w:sz w:val="28"/>
          <w:szCs w:val="28"/>
          <w:rtl w:val="false"/>
        </w:rPr>
        <w:t>17 June 2026 — The Cartographer. The Full scenario, five weeks before the $100k figure</w:t>
      </w:r>
    </w:p>
    <w:p>
      <w:pPr>
        <w:jc w:val="center"/>
      </w:pPr>
      <w:r>
        <w:rPr>
          <w:b w:val="false"/>
          <w:bCs w:val="false"/>
          <w:i w:val="false"/>
          <w:iCs w:val="false"/>
          <w:sz w:val="22"/>
          <w:szCs w:val="22"/>
          <w:rtl w:val="false"/>
        </w:rPr>
        <w:t>Stated as a sequence, not a menu: The dollar runs into resistance and rolls over; crypto rallies; Bitcoin rallies into resistance. And the discriminating detail — The Ferocity of the rally is itself the tell. The October 2025 decline was violent because it was a recognition of a paradigm shift; the rally that follows will be fierce Because it is corrective in a bear downtrend.</w:t>
      </w:r>
    </w:p>
    <w:p>
      <w:pPr>
        <w:jc w:val="center"/>
      </w:pPr>
      <w:r>
        <w:rPr>
          <w:b w:val="false"/>
          <w:bCs w:val="false"/>
          <w:i w:val="false"/>
          <w:iCs w:val="false"/>
          <w:sz w:val="22"/>
          <w:szCs w:val="22"/>
          <w:rtl w:val="false"/>
        </w:rPr>
        <w:t>“The fierceness of the rally gets people hyped again thinking new all-time highs, and they all go piling in at the top, at the heaviest resistance band, and They get trapped. Bull trapped.”</w:t>
      </w:r>
    </w:p>
    <w:p>
      <w:pPr>
        <w:jc w:val="center"/>
      </w:pPr>
      <w:r>
        <w:rPr>
          <w:b w:val="false"/>
          <w:bCs w:val="false"/>
          <w:i w:val="false"/>
          <w:iCs w:val="false"/>
          <w:sz w:val="22"/>
          <w:szCs w:val="22"/>
          <w:rtl w:val="false"/>
        </w:rPr>
        <w:t>And the Principle under it, stated the same day: “the Price itself drives the narrative, not the other way around. The market happens, and they try and fit the news around it to suit.”</w:t>
      </w:r>
    </w:p>
    <w:p>
      <w:pPr>
        <w:jc w:val="center"/>
      </w:pPr>
      <w:r>
        <w:rPr>
          <w:b w:val="false"/>
          <w:bCs w:val="false"/>
          <w:i w:val="false"/>
          <w:iCs w:val="false"/>
          <w:sz w:val="22"/>
          <w:szCs w:val="22"/>
          <w:rtl w:val="false"/>
        </w:rPr>
        <w:t>The Monero leg, distinguished precisely: Monero may rise more slowly in absolute terms, and that is the point — Slow and steady means sustained structural bullishness rather than a corrective rally. “a rally from here in Bitcoin is a bear market rally. A rally from here in Monero is a bull market rally.” a new all-time high in Monero confirms it — and that high will arrive on the back of the financial press discovering its relative strength, which is what fuels the local top and prints the next fortune-teller spike.</w:t>
      </w:r>
    </w:p>
    <w:p>
      <w:pPr>
        <w:jc w:val="center"/>
      </w:pPr>
      <w:r>
        <w:rPr>
          <w:b w:val="false"/>
          <w:bCs w:val="false"/>
          <w:i w:val="false"/>
          <w:iCs w:val="false"/>
          <w:sz w:val="22"/>
          <w:szCs w:val="22"/>
          <w:rtl w:val="false"/>
        </w:rPr>
        <w:t>And a Second falsifier was set that day, distinct from the one on the Nasdaq chart: If Monero collapses proportionally with Bitcoin through the broader test, the bifurcation was rotation only and the thesis fails. If it holds significantly higher, the bifurcation is structural. Two falsifiers now stand: One on relative structure, one on the absolute level.</w:t>
      </w:r>
    </w:p>
    <w:p>
      <w:pPr>
        <w:keepNext/>
        <w:keepLines/>
        <w:spacing w:after="20" w:before="760"/>
        <w:jc w:val="center"/>
      </w:pPr>
      <w:r>
        <w:rPr>
          <w:b/>
          <w:bCs/>
          <w:i w:val="false"/>
          <w:iCs w:val="false"/>
          <w:sz w:val="28"/>
          <w:szCs w:val="28"/>
          <w:rtl w:val="false"/>
        </w:rPr>
        <w:t>25 July 2026 — the $100,000 call, verbatim</w:t>
      </w:r>
    </w:p>
    <w:p>
      <w:pPr>
        <w:jc w:val="center"/>
      </w:pPr>
      <w:r>
        <w:rPr>
          <w:b w:val="false"/>
          <w:bCs w:val="false"/>
          <w:i w:val="false"/>
          <w:iCs w:val="false"/>
          <w:sz w:val="22"/>
          <w:szCs w:val="22"/>
          <w:rtl w:val="false"/>
        </w:rPr>
        <w:t>“If Bitcoin gets back above a hundred thousand US dollars, and I think it’s gonna get there on the back of a weaker US dollar too.” Bitcoin was around $66,000. The level, the Weak-dollar mechanism, and the lower-high-in-francs reasoning were all in that one sentence.</w:t>
      </w:r>
    </w:p>
    <w:p>
      <w:pPr>
        <w:keepNext/>
        <w:keepLines/>
        <w:spacing w:after="20" w:before="760"/>
        <w:jc w:val="center"/>
      </w:pPr>
      <w:r>
        <w:rPr>
          <w:b/>
          <w:bCs/>
          <w:i w:val="false"/>
          <w:iCs w:val="false"/>
          <w:sz w:val="28"/>
          <w:szCs w:val="28"/>
          <w:rtl w:val="false"/>
        </w:rPr>
        <w:t>25 July 2026 — the invalidation, set while flat</w:t>
      </w:r>
    </w:p>
    <w:p>
      <w:pPr>
        <w:jc w:val="center"/>
      </w:pPr>
      <w:r>
        <w:rPr>
          <w:b w:val="false"/>
          <w:bCs w:val="false"/>
          <w:i w:val="false"/>
          <w:iCs w:val="false"/>
          <w:sz w:val="22"/>
          <w:szCs w:val="22"/>
          <w:rtl w:val="false"/>
        </w:rPr>
        <w:t>Three tiers on BTC/XMR. About 273.78, the pre-delisting level, is the Warning. A single three-day candle close above 300 is the trigger to begin diversifying out. Trading back inside the body of the delisting impulse candle means the decentralisation recovery has been undone. The Exit destination is cash, not another asset — because if the call fails, the framework that selected it is what has been falsified, so the next judgement from that framework should not be trusted either.</w:t>
      </w:r>
    </w:p>
    <w:p>
      <w:pPr>
        <w:keepNext/>
        <w:keepLines/>
        <w:spacing w:after="20" w:before="760"/>
        <w:jc w:val="center"/>
      </w:pPr>
      <w:r>
        <w:rPr>
          <w:b/>
          <w:bCs/>
          <w:i w:val="false"/>
          <w:iCs w:val="false"/>
          <w:sz w:val="28"/>
          <w:szCs w:val="28"/>
          <w:rtl w:val="false"/>
        </w:rPr>
        <w:t>19–20 August 2026 — the call lands, with numbers</w:t>
      </w:r>
    </w:p>
    <w:p>
      <w:pPr>
        <w:jc w:val="center"/>
      </w:pPr>
      <w:r>
        <w:rPr>
          <w:b w:val="false"/>
          <w:bCs w:val="false"/>
          <w:i w:val="false"/>
          <w:iCs w:val="false"/>
          <w:sz w:val="22"/>
          <w:szCs w:val="22"/>
          <w:rtl w:val="false"/>
        </w:rPr>
        <w:t>US Treasury announced mid-quarter it would at least double long-end buybacks — a surprise, on nobody’s calendar. DXY fell 0.82% to 98.84, a three-month low. Bitcoin +8% to about $69,500, through the 100- and 200-day averages, with $1.44bn of shorts liquidated — the largest short wipeout in records back to 2021. Gold +3.88%. The Mechanism and direction had been stated 25 days earlier, and the shape two months before that.</w:t>
      </w:r>
    </w:p>
    <w:p>
      <w:pPr>
        <w:jc w:val="center"/>
      </w:pPr>
      <w:r>
        <w:rPr>
          <w:b w:val="false"/>
          <w:bCs w:val="false"/>
          <w:i w:val="false"/>
          <w:iCs w:val="false"/>
          <w:sz w:val="22"/>
          <w:szCs w:val="22"/>
          <w:rtl w:val="false"/>
        </w:rPr>
        <w:t>The Number that proved the structural read: The aggregated BTC long-short accounts ratio fell to 0.835 from about 1.05 — more accounts were positioned short into the break than long. “Too much meat there”, measured. And the Character matched the june forecast: A record short wipeout is the ferocious corrective rally he described, not an accumulation.</w:t>
      </w:r>
    </w:p>
    <w:p>
      <w:pPr>
        <w:keepNext/>
        <w:keepLines/>
        <w:spacing w:after="20" w:before="760"/>
        <w:jc w:val="center"/>
      </w:pPr>
      <w:r>
        <w:rPr>
          <w:b/>
          <w:bCs/>
          <w:i w:val="false"/>
          <w:iCs w:val="false"/>
          <w:sz w:val="28"/>
          <w:szCs w:val="28"/>
          <w:rtl w:val="false"/>
        </w:rPr>
        <w:t>21 August 2026</w:t>
      </w:r>
    </w:p>
    <w:p>
      <w:pPr>
        <w:jc w:val="center"/>
      </w:pPr>
      <w:r>
        <w:rPr>
          <w:b w:val="false"/>
          <w:bCs w:val="false"/>
          <w:i w:val="false"/>
          <w:iCs w:val="false"/>
          <w:sz w:val="22"/>
          <w:szCs w:val="22"/>
          <w:rtl w:val="false"/>
        </w:rPr>
        <w:t>Bitcoin peaked at $79,484, +24.2% from Wednesday’s ~$64,000. BTC/XMR reached 199 against his pre-registered tolerance of “could go to 200 and I wouldn’t be worried whatsoever”. Monero was up about 7.8% in dollar terms over the same stretch — participating and lagging, not being abandoned. That distinction is load-bearing.</w:t>
      </w:r>
    </w:p>
    <w:p>
      <w:pPr>
        <w:keepNext/>
        <w:keepLines/>
        <w:spacing w:after="20" w:before="760"/>
        <w:jc w:val="center"/>
      </w:pPr>
      <w:r>
        <w:rPr>
          <w:b/>
          <w:bCs/>
          <w:i w:val="false"/>
          <w:iCs w:val="false"/>
          <w:sz w:val="28"/>
          <w:szCs w:val="28"/>
          <w:rtl w:val="false"/>
        </w:rPr>
        <w:t>25 August 2026 — the Monero fortune-teller wicks</w:t>
      </w:r>
    </w:p>
    <w:p>
      <w:pPr>
        <w:jc w:val="center"/>
      </w:pPr>
      <w:r>
        <w:rPr>
          <w:b w:val="false"/>
          <w:bCs w:val="false"/>
          <w:i w:val="false"/>
          <w:iCs w:val="false"/>
          <w:sz w:val="22"/>
          <w:szCs w:val="22"/>
          <w:rtl w:val="false"/>
        </w:rPr>
        <w:t>Of the 12 June 2026 week high, five denominators have now closed above: Vxn on 5 August, orange juice on 9 August, USD on 23 August at 432.04 against the 426.32 high, the NASDAQ on the 2am bar of 25 August, and the fxcm dollar basket on the 8am bar. Still open: Yen, silver, gold. Gold is last and furthest, which is gold doing exactly the job it is held for.</w:t>
      </w:r>
    </w:p>
    <w:p>
      <w:pPr>
        <w:keepNext/>
        <w:keepLines/>
        <w:spacing w:after="240" w:before="760"/>
        <w:jc w:val="center"/>
      </w:pPr>
      <w:r>
        <w:rPr>
          <w:b/>
          <w:bCs/>
          <w:i w:val="false"/>
          <w:iCs w:val="false"/>
          <w:sz w:val="36"/>
          <w:szCs w:val="36"/>
          <w:rtl w:val="false"/>
        </w:rPr>
        <w:t>II‹b› · The chain, dated</w:t>
      </w:r>
    </w:p>
    <w:p>
      <w:pPr>
        <w:jc w:val="center"/>
      </w:pPr>
      <w:r>
        <w:rPr>
          <w:b w:val="false"/>
          <w:bCs w:val="false"/>
          <w:i w:val="false"/>
          <w:iCs w:val="false"/>
          <w:sz w:val="22"/>
          <w:szCs w:val="22"/>
          <w:rtl w:val="false"/>
        </w:rPr>
        <w:t>The factual spine, established May 2026 and not disputed since.</w:t>
      </w:r>
    </w:p>
    <w:p>
      <w:pPr>
        <w:jc w:val="center"/>
      </w:pPr>
      <w:r>
        <w:rPr>
          <w:b w:val="false"/>
          <w:bCs w:val="false"/>
          <w:i w:val="false"/>
          <w:iCs w:val="false"/>
          <w:sz w:val="22"/>
          <w:szCs w:val="22"/>
          <w:rtl w:val="false"/>
        </w:rPr>
        <w:t>March 2018 — researchers at rwth Aachen and Goethe University Frankfurt publish the first quantitative analysis of arbitrary content on the chain. About 1,600 non-financial files; eight containing sexual content; one image suspected to be abuse material; two files carrying 274 links, 142 of them to Tor services. Extraction required specialised tools at that time.</w:t>
      </w:r>
    </w:p>
    <w:p>
      <w:pPr>
        <w:jc w:val="center"/>
      </w:pPr>
      <w:r>
        <w:rPr>
          <w:b w:val="false"/>
          <w:bCs w:val="false"/>
          <w:i w:val="false"/>
          <w:iCs w:val="false"/>
          <w:sz w:val="22"/>
          <w:szCs w:val="22"/>
          <w:rtl w:val="false"/>
        </w:rPr>
        <w:t>2023 — Ordinals and Inscriptions launch using Taproot witness data, Bypassing the OP_RETURN Limit entirely by a different technical path. The dam breaks at the technical level while the official limit stands.</w:t>
      </w:r>
    </w:p>
    <w:p>
      <w:pPr>
        <w:jc w:val="center"/>
      </w:pPr>
      <w:r>
        <w:rPr>
          <w:b w:val="false"/>
          <w:bCs w:val="false"/>
          <w:i w:val="false"/>
          <w:iCs w:val="false"/>
          <w:sz w:val="22"/>
          <w:szCs w:val="22"/>
          <w:rtl w:val="false"/>
        </w:rPr>
        <w:t>April 2025 — the proposal to remove the OP_RETURN limit is revisited. June 2025 — Bitcoin Core merges the change. 30 October 2025 — Bitcoin Core 30 takes effect, removing the cap and permitting up to 4 Megabytes per output.</w:t>
      </w:r>
    </w:p>
    <w:p>
      <w:pPr>
        <w:jc w:val="center"/>
      </w:pPr>
      <w:r>
        <w:rPr>
          <w:b w:val="false"/>
          <w:bCs w:val="false"/>
          <w:i w:val="false"/>
          <w:iCs w:val="false"/>
          <w:sz w:val="22"/>
          <w:szCs w:val="22"/>
          <w:rtl w:val="false"/>
        </w:rPr>
        <w:t>The Community split is measurable: Bitcoin Core’s node share fell from about 98% to 88%, with Bitcoin Knots gaining in protest. The objection was raised explicitly during the debate and overruled. That date is the hinge on which the 2024-diligence objection turns — anything examined before 30 October 2025 was a different object.</w:t>
      </w:r>
    </w:p>
    <w:p>
      <w:pPr>
        <w:keepNext/>
        <w:keepLines/>
        <w:spacing w:after="240" w:before="760"/>
        <w:jc w:val="center"/>
      </w:pPr>
      <w:r>
        <w:rPr>
          <w:b/>
          <w:bCs/>
          <w:i w:val="false"/>
          <w:iCs w:val="false"/>
          <w:sz w:val="36"/>
          <w:szCs w:val="36"/>
          <w:rtl w:val="false"/>
        </w:rPr>
        <w:t>III · The argument, in its tightest form</w:t>
      </w:r>
    </w:p>
    <w:p>
      <w:pPr>
        <w:keepNext/>
        <w:keepLines/>
        <w:spacing w:after="20" w:before="760"/>
        <w:jc w:val="center"/>
      </w:pPr>
      <w:r>
        <w:rPr>
          <w:b/>
          <w:bCs/>
          <w:i w:val="false"/>
          <w:iCs w:val="false"/>
          <w:sz w:val="28"/>
          <w:szCs w:val="28"/>
          <w:rtl w:val="false"/>
        </w:rPr>
        <w:t>The content case, and the trap inside it</w:t>
      </w:r>
    </w:p>
    <w:p>
      <w:pPr>
        <w:jc w:val="center"/>
      </w:pPr>
      <w:r>
        <w:rPr>
          <w:b w:val="false"/>
          <w:bCs w:val="false"/>
          <w:i w:val="false"/>
          <w:iCs w:val="false"/>
          <w:sz w:val="22"/>
          <w:szCs w:val="22"/>
          <w:rtl w:val="false"/>
        </w:rPr>
        <w:t>The chain carries material that cannot be removed. Fixing it requires breaking immutability, which is the principal argument for the asset. That is not a prediction — it is a fact about the design, and it is why the position cannot be cleanly defended from inside whatever happens next.</w:t>
      </w:r>
    </w:p>
    <w:p>
      <w:pPr>
        <w:keepNext/>
        <w:keepLines/>
        <w:spacing w:after="20" w:before="760"/>
        <w:jc w:val="center"/>
      </w:pPr>
      <w:r>
        <w:rPr>
          <w:b/>
          <w:bCs/>
          <w:i w:val="false"/>
          <w:iCs w:val="false"/>
          <w:sz w:val="28"/>
          <w:szCs w:val="28"/>
          <w:rtl w:val="false"/>
        </w:rPr>
        <w:t>The fee-market point</w:t>
      </w:r>
    </w:p>
    <w:p>
      <w:pPr>
        <w:jc w:val="center"/>
      </w:pPr>
      <w:r>
        <w:rPr>
          <w:b w:val="false"/>
          <w:bCs w:val="false"/>
          <w:i w:val="false"/>
          <w:iCs w:val="false"/>
          <w:sz w:val="22"/>
          <w:szCs w:val="22"/>
          <w:rtl w:val="false"/>
        </w:rPr>
        <w:t>Mining and infrastructure have a Positive incentive to encourage arbitrary data, because transaction fees are what secure the network as the block subsidy shrinks. The economics actively reward the behaviour. The chain fills faster the more the security model depends on fees.</w:t>
      </w:r>
    </w:p>
    <w:p>
      <w:pPr>
        <w:keepNext/>
        <w:keepLines/>
        <w:spacing w:after="20" w:before="760"/>
        <w:jc w:val="center"/>
      </w:pPr>
      <w:r>
        <w:rPr>
          <w:b/>
          <w:bCs/>
          <w:i w:val="false"/>
          <w:iCs w:val="false"/>
          <w:sz w:val="28"/>
          <w:szCs w:val="28"/>
          <w:rtl w:val="false"/>
        </w:rPr>
        <w:t>The hodl paradox</w:t>
      </w:r>
    </w:p>
    <w:p>
      <w:pPr>
        <w:jc w:val="center"/>
      </w:pPr>
      <w:r>
        <w:rPr>
          <w:b w:val="false"/>
          <w:bCs w:val="false"/>
          <w:i w:val="false"/>
          <w:iCs w:val="false"/>
          <w:sz w:val="22"/>
          <w:szCs w:val="22"/>
          <w:rtl w:val="false"/>
        </w:rPr>
        <w:t>The culture is buy-and-never-spend, so nobody transacts, so fees stay thin — but fees must secure the network as the subsidy falls. That creates pressure for non-monetary transaction demand, which is exactly what opening OP_RETURN supplies. The Material is not an accident that befell the chain. It is the solution to a problem the culture created.</w:t>
      </w:r>
    </w:p>
    <w:p>
      <w:pPr>
        <w:keepNext/>
        <w:keepLines/>
        <w:spacing w:after="20" w:before="760"/>
        <w:jc w:val="center"/>
      </w:pPr>
      <w:r>
        <w:rPr>
          <w:b/>
          <w:bCs/>
          <w:i w:val="false"/>
          <w:iCs w:val="false"/>
          <w:sz w:val="28"/>
          <w:szCs w:val="28"/>
          <w:rtl w:val="false"/>
        </w:rPr>
        <w:t>The orthodoxy is the exposure</w:t>
      </w:r>
    </w:p>
    <w:p>
      <w:pPr>
        <w:jc w:val="center"/>
      </w:pPr>
      <w:r>
        <w:rPr>
          <w:b w:val="false"/>
          <w:bCs w:val="false"/>
          <w:i w:val="false"/>
          <w:iCs w:val="false"/>
          <w:sz w:val="22"/>
          <w:szCs w:val="22"/>
          <w:rtl w:val="false"/>
        </w:rPr>
        <w:t>The two defining tenets of maximalism are self-custody and running a full node. Both are now the compromised practices — node operators store the chain including its content, and self-custody has been undermined by thefts driving holders back to exchanges. The More orthodox the practice, the greater the exposure. An internal contradiction rather than an external attack.</w:t>
      </w:r>
    </w:p>
    <w:p>
      <w:pPr>
        <w:keepNext/>
        <w:keepLines/>
        <w:spacing w:after="20" w:before="760"/>
        <w:jc w:val="center"/>
      </w:pPr>
      <w:r>
        <w:rPr>
          <w:b/>
          <w:bCs/>
          <w:i w:val="false"/>
          <w:iCs w:val="false"/>
          <w:sz w:val="28"/>
          <w:szCs w:val="28"/>
          <w:rtl w:val="false"/>
        </w:rPr>
        <w:t>The revealed-preference test</w:t>
      </w:r>
    </w:p>
    <w:p>
      <w:pPr>
        <w:jc w:val="center"/>
      </w:pPr>
      <w:r>
        <w:rPr>
          <w:b w:val="false"/>
          <w:bCs w:val="false"/>
          <w:i w:val="false"/>
          <w:iCs w:val="false"/>
          <w:sz w:val="22"/>
          <w:szCs w:val="22"/>
          <w:rtl w:val="false"/>
        </w:rPr>
        <w:t>Holders are moving coins from cold storage onto exchanges because of wallet thefts. If the ethos were the load-bearing reason for holding, losing safe self-custody would be a reason to sell. Instead they kept the asset and abandoned the property. The Property was never what they were there for.</w:t>
      </w:r>
    </w:p>
    <w:p>
      <w:pPr>
        <w:keepNext/>
        <w:keepLines/>
        <w:spacing w:after="20" w:before="760"/>
        <w:jc w:val="center"/>
      </w:pPr>
      <w:r>
        <w:rPr>
          <w:b/>
          <w:bCs/>
          <w:i w:val="false"/>
          <w:iCs w:val="false"/>
          <w:sz w:val="28"/>
          <w:szCs w:val="28"/>
          <w:rtl w:val="false"/>
        </w:rPr>
        <w:t>The change of constituency</w:t>
      </w:r>
    </w:p>
    <w:p>
      <w:pPr>
        <w:jc w:val="center"/>
      </w:pPr>
      <w:r>
        <w:rPr>
          <w:b w:val="false"/>
          <w:bCs w:val="false"/>
          <w:i w:val="false"/>
          <w:iCs w:val="false"/>
          <w:sz w:val="22"/>
          <w:szCs w:val="22"/>
          <w:rtl w:val="false"/>
        </w:rPr>
        <w:t>The tipping point is not the existing market suddenly caring about something it has ignored. It is New eyes with a different mandate — fiduciaries, compliance functions, auditors, running diligence on a reserve asset. They examine what nobody in the asset has previously examined.</w:t>
      </w:r>
    </w:p>
    <w:p>
      <w:pPr>
        <w:keepNext/>
        <w:keepLines/>
        <w:spacing w:after="240" w:before="760"/>
        <w:jc w:val="center"/>
      </w:pPr>
      <w:r>
        <w:rPr>
          <w:b/>
          <w:bCs/>
          <w:i w:val="false"/>
          <w:iCs w:val="false"/>
          <w:sz w:val="36"/>
          <w:szCs w:val="36"/>
          <w:rtl w:val="false"/>
        </w:rPr>
        <w:t>IV · The mechanism, corrected 26 August 2026</w:t>
      </w:r>
    </w:p>
    <w:p>
      <w:pPr>
        <w:jc w:val="center"/>
      </w:pPr>
      <w:r>
        <w:rPr>
          <w:b w:val="false"/>
          <w:bCs w:val="false"/>
          <w:i w:val="false"/>
          <w:iCs w:val="false"/>
          <w:sz w:val="22"/>
          <w:szCs w:val="22"/>
          <w:rtl w:val="false"/>
        </w:rPr>
        <w:t>This is a salience thesis, not a density thesis. The named mechanism is the Law of contagion — Rozin and Nemeroff. A perceived contaminant transfers by contact, Does not dilute with distance, time or quantity, and is largely irreversible.</w:t>
      </w:r>
    </w:p>
    <w:p>
      <w:pPr>
        <w:jc w:val="center"/>
      </w:pPr>
      <w:r>
        <w:rPr>
          <w:b w:val="false"/>
          <w:bCs w:val="false"/>
          <w:i w:val="false"/>
          <w:iCs w:val="false"/>
          <w:sz w:val="22"/>
          <w:szCs w:val="22"/>
          <w:rtl w:val="false"/>
        </w:rPr>
        <w:t>The Consequence costs an argument that was being used. Because contagion is dose-insensitive, “more material every day since the caps came off” does no work on whether the reflex fires. The Trigger condition was met years ago. The whole question relocates onto why it has not fired yet — and the answer is salience, not volume.</w:t>
      </w:r>
    </w:p>
    <w:p>
      <w:pPr>
        <w:jc w:val="center"/>
      </w:pPr>
      <w:r>
        <w:rPr>
          <w:b w:val="false"/>
          <w:bCs w:val="false"/>
          <w:i w:val="false"/>
          <w:iCs w:val="false"/>
          <w:sz w:val="22"/>
          <w:szCs w:val="22"/>
          <w:rtl w:val="false"/>
        </w:rPr>
        <w:t>The Evidence, and it is measured rather than asserted: On SAINt jhn’s Collection One, the track “Traci Lords” carries about 283,000 plays where the other seven run between 2.5 and 12 million. Roughly Thirty-five times below the adjacent track. Both mechanical explanations are dead: It is not a deep cut, since the more explicit “Brilliant Bitch” sits one position later with 35x the plays; and it was not pulled and re-uploaded, the upload date being identical across eight years. The association is four steps removed — a love song about a woman who was the victim, written forty years later by a man who was not there — and it still cost 35x. That is a prior on how contamination travels when the association is direct.</w:t>
      </w:r>
    </w:p>
    <w:p>
      <w:pPr>
        <w:jc w:val="center"/>
      </w:pPr>
      <w:r>
        <w:rPr>
          <w:b w:val="false"/>
          <w:bCs w:val="false"/>
          <w:i w:val="false"/>
          <w:iCs w:val="false"/>
          <w:sz w:val="22"/>
          <w:szCs w:val="22"/>
          <w:rtl w:val="false"/>
        </w:rPr>
        <w:t>Where it does not reach, and this was conceded: Aversion scales inversely with switching cost. Skipping a track is free. Holders face a priced exit. So Consumer-scale recoil does not transfer straight across to holder behaviour. The version that survives is the institutional one — for a custodian or a fiduciary the question is not “do I want this” but “what is my exposure”, which is binary and indifferent to liquidity.</w:t>
      </w:r>
    </w:p>
    <w:p>
      <w:pPr>
        <w:jc w:val="center"/>
      </w:pPr>
      <w:r>
        <w:rPr>
          <w:b w:val="false"/>
          <w:bCs w:val="false"/>
          <w:i w:val="false"/>
          <w:iCs w:val="false"/>
          <w:sz w:val="22"/>
          <w:szCs w:val="22"/>
          <w:rtl w:val="false"/>
        </w:rPr>
        <w:t>And the Recoil will not come from the public. Disgust alone has a poor record of moving capital; institutions have absorbed association with terrible things repeatedly. What predicts refusal is personal legal exposure to identifiable decision-makers. The trigger to watch is not a public mood. It is the First general counsel who says no.</w:t>
      </w:r>
    </w:p>
    <w:p>
      <w:pPr>
        <w:keepNext/>
        <w:keepLines/>
        <w:spacing w:after="240" w:before="760"/>
        <w:jc w:val="center"/>
      </w:pPr>
      <w:r>
        <w:rPr>
          <w:b/>
          <w:bCs/>
          <w:i w:val="false"/>
          <w:iCs w:val="false"/>
          <w:sz w:val="36"/>
          <w:szCs w:val="36"/>
          <w:rtl w:val="false"/>
        </w:rPr>
        <w:t>V · The Monero leg</w:t>
      </w:r>
    </w:p>
    <w:p>
      <w:pPr>
        <w:jc w:val="center"/>
      </w:pPr>
      <w:r>
        <w:rPr>
          <w:b w:val="false"/>
          <w:bCs w:val="false"/>
          <w:i w:val="false"/>
          <w:iCs w:val="false"/>
          <w:sz w:val="22"/>
          <w:szCs w:val="22"/>
          <w:rtl w:val="false"/>
        </w:rPr>
        <w:t>Monero never did the thing. Bitcoin is the thing — the chain holds the material. Monero is associated by category and nothing else. The Correct analogy is the adult industry in 1986: Hurt badly by association when the news broke, structurally distinguishable from the offence, and it Came back.</w:t>
      </w:r>
    </w:p>
    <w:p>
      <w:pPr>
        <w:jc w:val="center"/>
      </w:pPr>
      <w:r>
        <w:rPr>
          <w:b w:val="false"/>
          <w:bCs w:val="false"/>
          <w:i w:val="false"/>
          <w:iCs w:val="false"/>
          <w:sz w:val="22"/>
          <w:szCs w:val="22"/>
          <w:rtl w:val="false"/>
        </w:rPr>
        <w:t>And it Did not come back by waiting for public mood to soften. It came back by becoming checkable — the record-keeping regime that followed existed to make age verifiable and auditable. Re-categorisation runs through a verifiable standard. Monero already has one built in: It cannot store arbitrary data at all, and that is confirmable from the protocol rather than taken on trust. It Does not need to adopt a standard. The protocol is the standard.</w:t>
      </w:r>
    </w:p>
    <w:p>
      <w:pPr>
        <w:jc w:val="center"/>
      </w:pPr>
      <w:r>
        <w:rPr>
          <w:b w:val="false"/>
          <w:bCs w:val="false"/>
          <w:i w:val="false"/>
          <w:iCs w:val="false"/>
          <w:sz w:val="22"/>
          <w:szCs w:val="22"/>
          <w:rtl w:val="false"/>
        </w:rPr>
        <w:t>The Structural test, better than any ratio: Monero takes its hit from a higher high and makes a higher low, while Bitcoin fails a new all-time high and bleeds. That is readable in the Swing structure itself, and it shows up before any narrative resolution — the divorce is visible in the price shape without waiting for the market to work out why.</w:t>
      </w:r>
    </w:p>
    <w:p>
      <w:pPr>
        <w:jc w:val="center"/>
      </w:pPr>
      <w:r>
        <w:rPr>
          <w:b w:val="false"/>
          <w:bCs w:val="false"/>
          <w:i w:val="false"/>
          <w:iCs w:val="false"/>
          <w:sz w:val="22"/>
          <w:szCs w:val="22"/>
          <w:rtl w:val="false"/>
        </w:rPr>
        <w:t>The Volatility point, and it is the best structural argument in the Monero case: Monero has almost no perpetual futures, minimal options depth and no ETF wrapper. There is no leverage stack to unwind. It structurally cannot suffer the kind of liquidation cascade that cleared roughly $3bn of Bitcoin shorts in a single session. The Delisting everyone reads as its weakness is precisely what protects it.</w:t>
      </w:r>
    </w:p>
    <w:p>
      <w:pPr>
        <w:keepNext/>
        <w:keepLines/>
        <w:spacing w:after="240" w:before="760"/>
        <w:jc w:val="center"/>
      </w:pPr>
      <w:r>
        <w:rPr>
          <w:b/>
          <w:bCs/>
          <w:i w:val="false"/>
          <w:iCs w:val="false"/>
          <w:sz w:val="36"/>
          <w:szCs w:val="36"/>
          <w:rtl w:val="false"/>
        </w:rPr>
        <w:t>VI · The falsifier</w:t>
      </w:r>
    </w:p>
    <w:p>
      <w:pPr>
        <w:jc w:val="center"/>
      </w:pPr>
      <w:r>
        <w:rPr>
          <w:b w:val="false"/>
          <w:bCs w:val="false"/>
          <w:i w:val="false"/>
          <w:iCs w:val="false"/>
          <w:sz w:val="22"/>
          <w:szCs w:val="22"/>
          <w:rtl w:val="false"/>
        </w:rPr>
        <w:t>A Thesis without one is a permanently-early thesis. This one is stated in levels, on a chart, with a date attached.</w:t>
      </w:r>
    </w:p>
    <w:p>
      <w:pPr>
        <w:keepNext/>
        <w:keepLines/>
        <w:spacing w:after="20" w:before="760"/>
        <w:jc w:val="center"/>
      </w:pPr>
      <w:r>
        <w:rPr>
          <w:b/>
          <w:bCs/>
          <w:i w:val="false"/>
          <w:iCs w:val="false"/>
          <w:sz w:val="28"/>
          <w:szCs w:val="28"/>
          <w:rtl w:val="false"/>
        </w:rPr>
        <w:t>The chart</w:t>
      </w:r>
    </w:p>
    <w:p>
      <w:pPr>
        <w:jc w:val="center"/>
      </w:pPr>
      <w:r>
        <w:rPr>
          <w:b w:val="false"/>
          <w:bCs w:val="false"/>
          <w:i w:val="false"/>
          <w:iCs w:val="false"/>
          <w:sz w:val="22"/>
          <w:szCs w:val="22"/>
          <w:rtl w:val="false"/>
        </w:rPr>
        <w:t>Bitcoin total market cap denominated in the NASDAQ 100. Three days per candle. Linear scale, not log — log smooths out the expression of the move, and the un-smoothed chart is the one that shows what actually happened.</w:t>
      </w:r>
    </w:p>
    <w:p>
      <w:pPr>
        <w:keepNext/>
        <w:keepLines/>
        <w:spacing w:after="20" w:before="760"/>
        <w:jc w:val="center"/>
      </w:pPr>
      <w:r>
        <w:rPr>
          <w:b/>
          <w:bCs/>
          <w:i w:val="false"/>
          <w:iCs w:val="false"/>
          <w:sz w:val="28"/>
          <w:szCs w:val="28"/>
          <w:rtl w:val="false"/>
        </w:rPr>
        <w:t>The levels, read 26 August 2026</w:t>
      </w:r>
    </w:p>
    <w:p>
      <w:pPr>
        <w:jc w:val="center"/>
      </w:pPr>
      <w:r>
        <w:rPr>
          <w:b w:val="false"/>
          <w:bCs w:val="false"/>
          <w:i w:val="false"/>
          <w:iCs w:val="false"/>
          <w:sz w:val="22"/>
          <w:szCs w:val="22"/>
          <w:rtl w:val="false"/>
        </w:rPr>
        <w:t>December 2017 peak: 51.76M. March 2021 peak: 89.03M. All-time high 107.1m on the 12 July 2025 bar. Low 38.77M on the 30 June 2026 bar. Presently 53.88M.</w:t>
      </w:r>
    </w:p>
    <w:p>
      <w:pPr>
        <w:jc w:val="center"/>
      </w:pPr>
      <w:r>
        <w:rPr>
          <w:b w:val="false"/>
          <w:bCs w:val="false"/>
          <w:i w:val="false"/>
          <w:iCs w:val="false"/>
          <w:sz w:val="22"/>
          <w:szCs w:val="22"/>
          <w:rtl w:val="false"/>
        </w:rPr>
        <w:t>The Line is 88.88m, drawn across the March 2021 peak, where it intersects the neckline of a Head and shoulders whose head is the July 2025 all-time high.</w:t>
      </w:r>
    </w:p>
    <w:p>
      <w:pPr>
        <w:keepNext/>
        <w:keepLines/>
        <w:spacing w:after="20" w:before="760"/>
        <w:jc w:val="center"/>
      </w:pPr>
      <w:r>
        <w:rPr>
          <w:b/>
          <w:bCs/>
          <w:i w:val="false"/>
          <w:iCs w:val="false"/>
          <w:sz w:val="28"/>
          <w:szCs w:val="28"/>
          <w:rtl w:val="false"/>
        </w:rPr>
        <w:t>The trigger</w:t>
      </w:r>
    </w:p>
    <w:p>
      <w:pPr>
        <w:jc w:val="center"/>
      </w:pPr>
      <w:r>
        <w:rPr>
          <w:b w:val="false"/>
          <w:bCs w:val="false"/>
          <w:i w:val="false"/>
          <w:iCs w:val="false"/>
          <w:sz w:val="22"/>
          <w:szCs w:val="22"/>
          <w:rtl w:val="false"/>
        </w:rPr>
        <w:t>A Three-day close above 88.88m is warning lights. Above 90m reads as probably heading back toward a new all-time high. The Expectation is that the rally runs at the line and fails, completing the pattern.</w:t>
      </w:r>
    </w:p>
    <w:p>
      <w:pPr>
        <w:keepNext/>
        <w:keepLines/>
        <w:spacing w:after="20" w:before="760"/>
        <w:jc w:val="center"/>
      </w:pPr>
      <w:r>
        <w:rPr>
          <w:b/>
          <w:bCs/>
          <w:i w:val="false"/>
          <w:iCs w:val="false"/>
          <w:sz w:val="28"/>
          <w:szCs w:val="28"/>
          <w:rtl w:val="false"/>
        </w:rPr>
        <w:t>Why this chart and not the dollar chart</w:t>
      </w:r>
    </w:p>
    <w:p>
      <w:pPr>
        <w:jc w:val="center"/>
      </w:pPr>
      <w:r>
        <w:rPr>
          <w:b w:val="false"/>
          <w:bCs w:val="false"/>
          <w:i w:val="false"/>
          <w:iCs w:val="false"/>
          <w:sz w:val="22"/>
          <w:szCs w:val="22"/>
          <w:rtl w:val="false"/>
        </w:rPr>
        <w:t>It Strips the dollar out. A new nominal high in USD proves nothing — it may only mean the measuring stick shrank. A New high against the NASDAQ is a Different claim entirely: Strength against the strongest conventional asset regime rather than against a debasing currency. This is the true tell.</w:t>
      </w:r>
    </w:p>
    <w:p>
      <w:pPr>
        <w:jc w:val="center"/>
      </w:pPr>
      <w:r>
        <w:rPr>
          <w:b w:val="false"/>
          <w:bCs w:val="false"/>
          <w:i w:val="false"/>
          <w:iCs w:val="false"/>
          <w:sz w:val="22"/>
          <w:szCs w:val="22"/>
          <w:rtl w:val="false"/>
        </w:rPr>
        <w:t>And it is 65% away. Far enough that noise cannot reach it, near enough that this move either takes it or does not — So the Falsifier also caps the timing, which is exactly what a salience thesis otherwise lacks. A technical failure on a chart nobody trades is also a cleaner signal, because it cannot be gamed.</w:t>
      </w:r>
    </w:p>
    <w:p>
      <w:pPr>
        <w:keepNext/>
        <w:keepLines/>
        <w:spacing w:after="240" w:before="760"/>
        <w:jc w:val="center"/>
      </w:pPr>
      <w:r>
        <w:rPr>
          <w:b/>
          <w:bCs/>
          <w:i w:val="false"/>
          <w:iCs w:val="false"/>
          <w:sz w:val="36"/>
          <w:szCs w:val="36"/>
          <w:rtl w:val="false"/>
        </w:rPr>
        <w:t>VII · What cuts against it</w:t>
      </w:r>
    </w:p>
    <w:p>
      <w:pPr>
        <w:keepNext/>
        <w:keepLines/>
        <w:spacing w:after="20" w:before="760"/>
        <w:jc w:val="center"/>
      </w:pPr>
      <w:r>
        <w:rPr>
          <w:b/>
          <w:bCs/>
          <w:i w:val="false"/>
          <w:iCs w:val="false"/>
          <w:sz w:val="28"/>
          <w:szCs w:val="28"/>
          <w:rtl w:val="false"/>
        </w:rPr>
        <w:t>The bias has relocated to the sequence</w:t>
      </w:r>
    </w:p>
    <w:p>
      <w:pPr>
        <w:jc w:val="center"/>
      </w:pPr>
      <w:r>
        <w:rPr>
          <w:b w:val="false"/>
          <w:bCs w:val="false"/>
          <w:i w:val="false"/>
          <w:iCs w:val="false"/>
          <w:sz w:val="22"/>
          <w:szCs w:val="22"/>
          <w:rtl w:val="false"/>
        </w:rPr>
        <w:t>Desire and analysis point opposite ways on the main call — he wants Bitcoin to fail on moral grounds while forecasting a rally that pays him — which is the protective configuration and genuinely rare. But the ordering pays twice: Financial gain first, moral satisfaction after. A forecast that satisfies every one of a forecaster’s competing interests in the most convenient order deserves extra scrutiny for exactly that reason. The test: Would he still forecast rally-first if he were short?</w:t>
      </w:r>
    </w:p>
    <w:p>
      <w:pPr>
        <w:keepNext/>
        <w:keepLines/>
        <w:spacing w:after="20" w:before="760"/>
        <w:jc w:val="center"/>
      </w:pPr>
      <w:r>
        <w:rPr>
          <w:b/>
          <w:bCs/>
          <w:i w:val="false"/>
          <w:iCs w:val="false"/>
          <w:sz w:val="28"/>
          <w:szCs w:val="28"/>
          <w:rtl w:val="false"/>
        </w:rPr>
        <w:t>And on the aversion limb the protection does not operate</w:t>
      </w:r>
    </w:p>
    <w:p>
      <w:pPr>
        <w:jc w:val="center"/>
      </w:pPr>
      <w:r>
        <w:rPr>
          <w:b w:val="false"/>
          <w:bCs w:val="false"/>
          <w:i w:val="false"/>
          <w:iCs w:val="false"/>
          <w:sz w:val="22"/>
          <w:szCs w:val="22"/>
          <w:rtl w:val="false"/>
        </w:rPr>
        <w:t>The salience limb rests on an anthropological claim — that people will recoil. He wants that to be true, because its arrival would vindicate his view of people. On that one limb, desire and analysis point the same way. Held consciously rather than left to ride on the rest.</w:t>
      </w:r>
    </w:p>
    <w:p>
      <w:pPr>
        <w:keepNext/>
        <w:keepLines/>
        <w:spacing w:after="20" w:before="760"/>
        <w:jc w:val="center"/>
      </w:pPr>
      <w:r>
        <w:rPr>
          <w:b/>
          <w:bCs/>
          <w:i w:val="false"/>
          <w:iCs w:val="false"/>
          <w:sz w:val="28"/>
          <w:szCs w:val="28"/>
          <w:rtl w:val="false"/>
        </w:rPr>
        <w:t>The node objection, and how far it reaches</w:t>
      </w:r>
    </w:p>
    <w:p>
      <w:pPr>
        <w:jc w:val="center"/>
      </w:pPr>
      <w:r>
        <w:rPr>
          <w:b w:val="false"/>
          <w:bCs w:val="false"/>
          <w:i w:val="false"/>
          <w:iCs w:val="false"/>
          <w:sz w:val="22"/>
          <w:szCs w:val="22"/>
          <w:rtl w:val="false"/>
        </w:rPr>
        <w:t>The vehicles that are growing mostly do not require the institution to store the chain. An ETF holder holds a security; a custodian need not run an archival node. This defeats the legal-possession version of the thesis. It does not defeat the contagion version, because contagion does not require possession — association is enough. So the Case survives by routing through reputation rather than law, and “node operation is not possession” therefore does not falsify it.</w:t>
      </w:r>
    </w:p>
    <w:p>
      <w:pPr>
        <w:keepNext/>
        <w:keepLines/>
        <w:spacing w:after="20" w:before="760"/>
        <w:jc w:val="center"/>
      </w:pPr>
      <w:r>
        <w:rPr>
          <w:b/>
          <w:bCs/>
          <w:i w:val="false"/>
          <w:iCs w:val="false"/>
          <w:sz w:val="28"/>
          <w:szCs w:val="28"/>
          <w:rtl w:val="false"/>
        </w:rPr>
        <w:t>The open tension, unresolved</w:t>
      </w:r>
    </w:p>
    <w:p>
      <w:pPr>
        <w:jc w:val="center"/>
      </w:pPr>
      <w:r>
        <w:rPr>
          <w:b w:val="false"/>
          <w:bCs w:val="false"/>
          <w:i w:val="false"/>
          <w:iCs w:val="false"/>
          <w:sz w:val="22"/>
          <w:szCs w:val="22"/>
          <w:rtl w:val="false"/>
        </w:rPr>
        <w:t>The Thesis needs contagion powerful for Bitcoin and reversible for Monero. Those are opposite properties of the same mechanism, and Rozin’s finding is that re-categorisation is active, effortful and slow. The load-bearing assumption is that the discernment arrives on a timescale that can be sat through. The 1986 Precedent supports it — but that recovery required an institutional actor and took years.</w:t>
      </w:r>
    </w:p>
    <w:p>
      <w:pPr>
        <w:keepNext/>
        <w:keepLines/>
        <w:spacing w:after="20" w:before="760"/>
        <w:jc w:val="center"/>
      </w:pPr>
      <w:r>
        <w:rPr>
          <w:b/>
          <w:bCs/>
          <w:i w:val="false"/>
          <w:iCs w:val="false"/>
          <w:sz w:val="28"/>
          <w:szCs w:val="28"/>
          <w:rtl w:val="false"/>
        </w:rPr>
        <w:t>The megaphone problem</w:t>
      </w:r>
    </w:p>
    <w:p>
      <w:pPr>
        <w:jc w:val="center"/>
      </w:pPr>
      <w:r>
        <w:rPr>
          <w:b w:val="false"/>
          <w:bCs w:val="false"/>
          <w:i w:val="false"/>
          <w:iCs w:val="false"/>
          <w:sz w:val="22"/>
          <w:szCs w:val="22"/>
          <w:rtl w:val="false"/>
        </w:rPr>
        <w:t>Monero’s one-sentence exoneration is technically true and checkable. But the people best placed to make it are the ones already off the platforms. The Exoneration case wants to be written and dated before it is needed, not improvised mid-panic when nobody is listening to anyone holding a privacy coin.</w:t>
      </w:r>
    </w:p>
    <w:p>
      <w:pPr>
        <w:keepNext/>
        <w:keepLines/>
        <w:spacing w:after="20" w:before="760"/>
        <w:jc w:val="center"/>
      </w:pPr>
      <w:r>
        <w:rPr>
          <w:b/>
          <w:bCs/>
          <w:i w:val="false"/>
          <w:iCs w:val="false"/>
          <w:sz w:val="28"/>
          <w:szCs w:val="28"/>
          <w:rtl w:val="false"/>
        </w:rPr>
        <w:t>The residual risks no price level can reach</w:t>
      </w:r>
    </w:p>
    <w:p>
      <w:pPr>
        <w:jc w:val="center"/>
      </w:pPr>
      <w:r>
        <w:rPr>
          <w:b w:val="false"/>
          <w:bCs w:val="false"/>
          <w:i w:val="false"/>
          <w:iCs w:val="false"/>
          <w:sz w:val="22"/>
          <w:szCs w:val="22"/>
          <w:rtl w:val="false"/>
        </w:rPr>
        <w:t>Privacy breaking. A cryptographic break. Crypto as an asset class disappearing. None of these would warn the ratio first — they arrive without a chart signal, so the tiered levels give no protection against them. This is accepted explicitly rather than argued away.</w:t>
      </w:r>
    </w:p>
    <w:p>
      <w:pPr>
        <w:keepNext/>
        <w:keepLines/>
        <w:spacing w:after="20" w:before="760"/>
        <w:jc w:val="center"/>
      </w:pPr>
      <w:r>
        <w:rPr>
          <w:b/>
          <w:bCs/>
          <w:i w:val="false"/>
          <w:iCs w:val="false"/>
          <w:sz w:val="28"/>
          <w:szCs w:val="28"/>
          <w:rtl w:val="false"/>
        </w:rPr>
        <w:t>The standing instruction</w:t>
      </w:r>
    </w:p>
    <w:p>
      <w:pPr>
        <w:jc w:val="center"/>
      </w:pPr>
      <w:r>
        <w:rPr>
          <w:b w:val="false"/>
          <w:bCs w:val="false"/>
          <w:i w:val="false"/>
          <w:iCs w:val="false"/>
          <w:sz w:val="22"/>
          <w:szCs w:val="22"/>
          <w:rtl w:val="false"/>
        </w:rPr>
        <w:t>“If you ever don’t doubt me, that’s when we’re in danger.” Too much confidence and too much certainty are named as the risk, and the doubt is to be kept up rather than dropped when calls land.</w:t>
      </w:r>
    </w:p>
    <w:p>
      <w:pPr>
        <w:keepNext/>
        <w:keepLines/>
        <w:spacing w:after="240" w:before="760"/>
        <w:jc w:val="center"/>
      </w:pPr>
      <w:r>
        <w:rPr>
          <w:b/>
          <w:bCs/>
          <w:i w:val="false"/>
          <w:iCs w:val="false"/>
          <w:sz w:val="36"/>
          <w:szCs w:val="36"/>
          <w:rtl w:val="false"/>
        </w:rPr>
        <w:t>VIII · Dependencies</w:t>
      </w:r>
    </w:p>
    <w:p>
      <w:pPr>
        <w:jc w:val="center"/>
      </w:pPr>
      <w:r>
        <w:rPr>
          <w:b w:val="false"/>
          <w:bCs w:val="false"/>
          <w:i w:val="false"/>
          <w:iCs w:val="false"/>
          <w:sz w:val="22"/>
          <w:szCs w:val="22"/>
          <w:rtl w:val="false"/>
        </w:rPr>
        <w:t>Argued elsewhere, named here so this document stays scoreable on its own terms. The Dollar thesis — the $100k call carries a weak-dollar mechanism and depends on it. The Long-bond thesis — the 6.9% structural target on the 30-year. The Denominator method and the Fortune-teller wick technique, which supply the instruments used throughout.</w:t>
      </w:r>
    </w:p>
    <w:p>
      <w:pPr>
        <w:keepNext/>
        <w:keepLines/>
        <w:spacing w:after="240" w:before="760"/>
        <w:jc w:val="center"/>
      </w:pPr>
      <w:r>
        <w:rPr>
          <w:b/>
          <w:bCs/>
          <w:i w:val="false"/>
          <w:iCs w:val="false"/>
          <w:sz w:val="36"/>
          <w:szCs w:val="36"/>
          <w:rtl w:val="false"/>
        </w:rPr>
        <w:t>IX · What would count as being right</w:t>
      </w:r>
    </w:p>
    <w:p>
      <w:pPr>
        <w:jc w:val="center"/>
      </w:pPr>
      <w:r>
        <w:rPr>
          <w:b w:val="false"/>
          <w:bCs w:val="false"/>
          <w:i w:val="false"/>
          <w:iCs w:val="false"/>
          <w:sz w:val="22"/>
          <w:szCs w:val="22"/>
          <w:rtl w:val="false"/>
        </w:rPr>
        <w:t>Bitcoin: Fails to make a new all-time high against the NASDAQ, turns back from below 88.88M, and completes the head and shoulders. Monero: Takes its drawdown from a Higher high and makes a Higher low while Bitcoin does neither. The Correlation between them breaks down — which is the earliest and cleanest confirmation available, and it arrives before any narrative does.</w:t>
      </w:r>
    </w:p>
    <w:p>
      <w:pPr>
        <w:jc w:val="center"/>
      </w:pPr>
      <w:r>
        <w:rPr>
          <w:b w:val="false"/>
          <w:bCs w:val="false"/>
          <w:i w:val="false"/>
          <w:iCs w:val="false"/>
          <w:sz w:val="22"/>
          <w:szCs w:val="22"/>
          <w:rtl w:val="false"/>
        </w:rPr>
        <w:t>And What would count as being wrong: A three-day close above 88.88M. Or a mainstream exposé that lands squarely and produces no institutional response at all. Or BTC/XMR closing above 300 on three days, which triggers the exit to cash regardless of what anyone believes.</w:t>
      </w:r>
    </w:p>
    <w:p>
      <w:pPr>
        <w:keepNext/>
        <w:keepLines/>
        <w:spacing w:after="240" w:before="760"/>
        <w:jc w:val="center"/>
      </w:pPr>
      <w:r>
        <w:rPr>
          <w:b/>
          <w:bCs/>
          <w:i w:val="false"/>
          <w:iCs w:val="false"/>
          <w:sz w:val="36"/>
          <w:szCs w:val="36"/>
          <w:rtl w:val="false"/>
        </w:rPr>
        <w:t>Closing</w:t>
      </w:r>
    </w:p>
    <w:p>
      <w:pPr>
        <w:jc w:val="center"/>
      </w:pPr>
      <w:r>
        <w:rPr>
          <w:b w:val="false"/>
          <w:bCs w:val="false"/>
          <w:i w:val="false"/>
          <w:iCs w:val="false"/>
          <w:sz w:val="22"/>
          <w:szCs w:val="22"/>
          <w:rtl w:val="false"/>
        </w:rPr>
        <w:t>The position does not require Bitcoin to fail. If it survives, the only cost is that less liquidity ever finds its way to Monero. The Strong opinion and the staked money are pointed at different objects, which is the single best feature of the construction and the reason it can be held without needing to be right.</w:t>
      </w:r>
    </w:p>
    <w:p>
      <w:pPr>
        <w:spacing w:before="320"/>
        <w:jc w:val="center"/>
      </w:pPr>
      <w:r>
        <w:rPr>
          <w:b w:val="false"/>
          <w:bCs w:val="false"/>
          <w:i/>
          <w:iCs/>
          <w:sz w:val="20"/>
          <w:szCs w:val="20"/>
          <w:rtl w:val="false"/>
        </w:rPr>
        <w:t>Held to the chamber discipline: The claims carry their dates, the counter-arguments are printed beside them, and the falsifier is stated in a number rather than a feeling.</w:t>
      </w:r>
    </w:p>
    <w:p>
      <w:pPr>
        <w:spacing w:after="160" w:before="0"/>
        <w:jc w:val="center"/>
      </w:pPr>
      <w:r>
        <w:rPr>
          <w:b w:val="false"/>
          <w:bCs w:val="false"/>
          <w:i/>
          <w:iCs/>
          <w:sz w:val="22"/>
          <w:szCs w:val="22"/>
          <w:rtl w:val="false"/>
        </w:rPr>
        <w:t>— recorded in the Thirteenth Runner</w:t>
      </w:r>
    </w:p>
    <w:p>
      <w:pPr>
        <w:jc w:val="center"/>
      </w:pPr>
      <w:r>
        <w:rPr>
          <w:b w:val="false"/>
          <w:bCs w:val="false"/>
          <w:i w:val="false"/>
          <w:iCs w:val="false"/>
          <w:sz w:val="22"/>
          <w:szCs w:val="22"/>
          <w:rtl w:val="false"/>
        </w:rPr>
        <w:t>Perth, Western Australia</w:t>
      </w:r>
    </w:p>
    <w:p>
      <w:pPr>
        <w:jc w:val="center"/>
      </w:pPr>
      <w:r>
        <w:rPr>
          <w:b w:val="false"/>
          <w:bCs w:val="false"/>
          <w:i w:val="false"/>
          <w:iCs w:val="false"/>
          <w:sz w:val="22"/>
          <w:szCs w:val="22"/>
          <w:rtl w:val="false"/>
        </w:rPr>
        <w:t>26 August 2026 — opened, and to be updated as the record accrues</w:t>
      </w:r>
    </w:p>
    <w:p>
      <w:pPr>
        <w:keepNext/>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2026-08-08T03:37:59.513Z</dcterms:created>
  <dcterms:modified xsi:type="dcterms:W3CDTF">2026-08-08T03:37:59.537Z</dcterms:modified>
</cp:coreProperties>
</file>

<file path=docProps/custom.xml><?xml version="1.0" encoding="utf-8"?>
<Properties xmlns="http://schemas.openxmlformats.org/officeDocument/2006/custom-properties" xmlns:vt="http://schemas.openxmlformats.org/officeDocument/2006/docPropsVTypes"/>
</file>