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i w:val="0"/>
          <w:color w:val="C9A227"/>
          <w:sz w:val="19"/>
          <w:smallCaps w:val="1"/>
          <w:spacing w:val="120"/>
        </w:rPr>
        <w:t>THE FREE BIBLE   ·   COLOPHON</w:t>
      </w:r>
    </w:p>
    <w:p>
      <w:pPr>
        <w:spacing w:before="0" w:after="60"/>
        <w:jc w:val="center"/>
      </w:pPr>
      <w:r>
        <w:rPr>
          <w:rFonts w:ascii="Georgia" w:hAnsi="Georgia"/>
          <w:b/>
          <w:i w:val="0"/>
          <w:color w:val="1E3966"/>
          <w:sz w:val="42"/>
        </w:rPr>
        <w:t>A Note on the Format</w:t>
      </w:r>
    </w:p>
    <w:p>
      <w:pPr>
        <w:spacing w:before="0" w:after="120"/>
        <w:jc w:val="center"/>
      </w:pPr>
      <w:r>
        <w:rPr>
          <w:rFonts w:ascii="Georgia" w:hAnsi="Georgia"/>
          <w:b w:val="0"/>
          <w:i/>
          <w:color w:val="1E3966"/>
          <w:sz w:val="25"/>
        </w:rPr>
        <w:t>Portable   ·   Durable   ·   Free</w:t>
      </w:r>
    </w:p>
    <w:p>
      <w:pPr>
        <w:spacing w:before="40" w:after="280"/>
        <w:jc w:val="center"/>
      </w:pPr>
      <w:r>
        <w:rPr>
          <w:rFonts w:ascii="Georgia" w:hAnsi="Georgia"/>
          <w:b w:val="0"/>
          <w:i w:val="0"/>
          <w:color w:val="C9A227"/>
          <w:sz w:val="20"/>
        </w:rPr>
        <w:t>— — —</w:t>
      </w:r>
    </w:p>
    <w:p>
      <w:pPr>
        <w:spacing w:before="0" w:after="200" w:line="312" w:lineRule="auto"/>
        <w:jc w:val="both"/>
      </w:pPr>
      <w:r>
        <w:rPr>
          <w:rFonts w:ascii="Georgia" w:hAnsi="Georgia"/>
          <w:b w:val="0"/>
          <w:i w:val="0"/>
          <w:color w:val="2E2010"/>
          <w:sz w:val="22"/>
        </w:rPr>
        <w:t>This corpus is offered in two forms: a fixed form and an editable one.</w:t>
      </w:r>
    </w:p>
    <w:p>
      <w:pPr>
        <w:spacing w:before="0" w:after="240" w:line="312" w:lineRule="auto"/>
        <w:jc w:val="both"/>
      </w:pPr>
      <w:r>
        <w:rPr>
          <w:rFonts w:ascii="Georgia" w:hAnsi="Georgia"/>
          <w:b w:val="0"/>
          <w:i w:val="0"/>
          <w:color w:val="2E2010"/>
          <w:sz w:val="22"/>
        </w:rPr>
        <w:t xml:space="preserve">The fixed form is the </w:t>
      </w:r>
      <w:r>
        <w:rPr>
          <w:rFonts w:ascii="Georgia" w:hAnsi="Georgia"/>
          <w:b/>
          <w:i w:val="0"/>
          <w:color w:val="1E3966"/>
          <w:sz w:val="22"/>
        </w:rPr>
        <w:t>PDF</w:t>
      </w:r>
      <w:r>
        <w:rPr>
          <w:rFonts w:ascii="Georgia" w:hAnsi="Georgia"/>
          <w:b w:val="0"/>
          <w:i w:val="0"/>
          <w:color w:val="2E2010"/>
          <w:sz w:val="22"/>
        </w:rPr>
        <w:t xml:space="preserve"> — </w:t>
      </w:r>
      <w:r>
        <w:rPr>
          <w:rFonts w:ascii="Georgia" w:hAnsi="Georgia"/>
          <w:b/>
          <w:i w:val="0"/>
          <w:color w:val="1E3966"/>
          <w:sz w:val="22"/>
        </w:rPr>
        <w:t>Portable</w:t>
      </w:r>
      <w:r>
        <w:rPr>
          <w:rFonts w:ascii="Georgia" w:hAnsi="Georgia"/>
          <w:b w:val="0"/>
          <w:i w:val="0"/>
          <w:color w:val="2E2010"/>
          <w:sz w:val="22"/>
        </w:rPr>
        <w:t xml:space="preserve">, </w:t>
      </w:r>
      <w:r>
        <w:rPr>
          <w:rFonts w:ascii="Georgia" w:hAnsi="Georgia"/>
          <w:b/>
          <w:i w:val="0"/>
          <w:color w:val="1E3966"/>
          <w:sz w:val="22"/>
        </w:rPr>
        <w:t>Durable</w:t>
      </w:r>
      <w:r>
        <w:rPr>
          <w:rFonts w:ascii="Georgia" w:hAnsi="Georgia"/>
          <w:b w:val="0"/>
          <w:i w:val="0"/>
          <w:color w:val="2E2010"/>
          <w:sz w:val="22"/>
        </w:rPr>
        <w:t xml:space="preserve">, </w:t>
      </w:r>
      <w:r>
        <w:rPr>
          <w:rFonts w:ascii="Georgia" w:hAnsi="Georgia"/>
          <w:b/>
          <w:i w:val="0"/>
          <w:color w:val="1E3966"/>
          <w:sz w:val="22"/>
        </w:rPr>
        <w:t>Free</w:t>
      </w:r>
      <w:r>
        <w:rPr>
          <w:rFonts w:ascii="Georgia" w:hAnsi="Georgia"/>
          <w:b w:val="0"/>
          <w:i w:val="0"/>
          <w:color w:val="2E2010"/>
          <w:sz w:val="22"/>
        </w:rPr>
        <w:t>:</w:t>
      </w:r>
    </w:p>
    <w:p>
      <w:pPr>
        <w:spacing w:before="0" w:after="240" w:line="317" w:lineRule="auto"/>
        <w:jc w:val="both"/>
      </w:pPr>
      <w:r>
        <w:rPr>
          <w:rFonts w:ascii="Georgia" w:hAnsi="Georgia"/>
          <w:b/>
          <w:i w:val="0"/>
          <w:color w:val="1E3966"/>
          <w:sz w:val="34"/>
        </w:rPr>
        <w:t>P</w:t>
      </w:r>
      <w:r>
        <w:rPr>
          <w:rFonts w:ascii="Georgia" w:hAnsi="Georgia"/>
          <w:b/>
          <w:i w:val="0"/>
          <w:color w:val="1E3966"/>
          <w:sz w:val="22"/>
        </w:rPr>
        <w:t>ortable</w:t>
      </w:r>
      <w:r>
        <w:rPr>
          <w:rFonts w:ascii="Georgia" w:hAnsi="Georgia"/>
          <w:b w:val="0"/>
          <w:i w:val="0"/>
          <w:color w:val="2E2010"/>
          <w:sz w:val="22"/>
        </w:rPr>
        <w:t xml:space="preserve">  —  it travels cleanly across every device, every system, every screen, asking nothing of the reader but eyes to see.</w:t>
      </w:r>
    </w:p>
    <w:p>
      <w:pPr>
        <w:spacing w:before="0" w:after="240" w:line="317" w:lineRule="auto"/>
        <w:jc w:val="both"/>
      </w:pPr>
      <w:r>
        <w:rPr>
          <w:rFonts w:ascii="Georgia" w:hAnsi="Georgia"/>
          <w:b/>
          <w:i w:val="0"/>
          <w:color w:val="1E3966"/>
          <w:sz w:val="34"/>
        </w:rPr>
        <w:t>D</w:t>
      </w:r>
      <w:r>
        <w:rPr>
          <w:rFonts w:ascii="Georgia" w:hAnsi="Georgia"/>
          <w:b/>
          <w:i w:val="0"/>
          <w:color w:val="1E3966"/>
          <w:sz w:val="22"/>
        </w:rPr>
        <w:t>urable</w:t>
      </w:r>
      <w:r>
        <w:rPr>
          <w:rFonts w:ascii="Georgia" w:hAnsi="Georgia"/>
          <w:b w:val="0"/>
          <w:i w:val="0"/>
          <w:color w:val="2E2010"/>
          <w:sz w:val="22"/>
        </w:rPr>
        <w:t xml:space="preserve">  —  it is a fixed record. What is set in it stays set. The page one reader sees is the page the next reader sees, unchanged by the journey between them.</w:t>
      </w:r>
    </w:p>
    <w:p>
      <w:pPr>
        <w:spacing w:before="0" w:after="280" w:line="317" w:lineRule="auto"/>
        <w:jc w:val="both"/>
      </w:pPr>
      <w:r>
        <w:rPr>
          <w:rFonts w:ascii="Georgia" w:hAnsi="Georgia"/>
          <w:b/>
          <w:i w:val="0"/>
          <w:color w:val="1E3966"/>
          <w:sz w:val="34"/>
        </w:rPr>
        <w:t>F</w:t>
      </w:r>
      <w:r>
        <w:rPr>
          <w:rFonts w:ascii="Georgia" w:hAnsi="Georgia"/>
          <w:b/>
          <w:i w:val="0"/>
          <w:color w:val="1E3966"/>
          <w:sz w:val="22"/>
        </w:rPr>
        <w:t>ree</w:t>
      </w:r>
      <w:r>
        <w:rPr>
          <w:rFonts w:ascii="Georgia" w:hAnsi="Georgia"/>
          <w:b w:val="0"/>
          <w:i w:val="0"/>
          <w:color w:val="2E2010"/>
          <w:sz w:val="22"/>
        </w:rPr>
        <w:t xml:space="preserve">  —  released under Creative Commons Attribution: costing nothing, owned by no gatekeeper. And — in the older and larger sense the whole corpus carries — the Free Bible, the Free Kings, the Free Bands. The format’s last letter lands on the project’s own name.</w:t>
      </w:r>
    </w:p>
    <w:p>
      <w:pPr>
        <w:spacing w:before="80" w:after="400" w:line="312" w:lineRule="auto"/>
        <w:jc w:val="both"/>
      </w:pPr>
      <w:r>
        <w:rPr>
          <w:rFonts w:ascii="Georgia" w:hAnsi="Georgia"/>
          <w:b w:val="0"/>
          <w:i w:val="0"/>
          <w:color w:val="2E2010"/>
          <w:sz w:val="22"/>
        </w:rPr>
        <w:t>The corpus travels as PDF, and also as editable .docx documents, for any reader who would amend the work or build upon it. The fixed and the open, each doing what the other cannot. Better together.</w:t>
      </w:r>
    </w:p>
    <w:p>
      <w:pPr>
        <w:spacing w:before="120" w:after="0"/>
        <w:jc w:val="center"/>
      </w:pPr>
      <w:r>
        <w:drawing>
          <wp:inline xmlns:a="http://schemas.openxmlformats.org/drawingml/2006/main" xmlns:pic="http://schemas.openxmlformats.org/drawingml/2006/picture">
            <wp:extent cx="1152000" cy="628989"/>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152000" cy="628989"/>
                    </a:xfrm>
                    <a:prstGeom prst="rect"/>
                  </pic:spPr>
                </pic:pic>
              </a:graphicData>
            </a:graphic>
          </wp:inline>
        </w:drawing>
      </w:r>
    </w:p>
    <w:sectPr w:rsidR="00FC693F" w:rsidRPr="0006063C" w:rsidSect="00034616">
      <w:pgSz w:w="11906" w:h="16838"/>
      <w:pgMar w:top="1701"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