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0"/>
      </w:tblGrid>
      <w:tr>
        <w:tc>
          <w:tcPr>
            <w:tcW w:type="dxa" w:w="7200"/>
            <w:vAlign w:val="top"/>
            <w:shd w:val="clear" w:color="auto" w:fill="D4C18A"/>
            <w:tcBorders>
              <w:top w:val="single" w:sz="24" w:color="4A3A1E" w:space="0"/>
              <w:left w:val="single" w:sz="24" w:color="4A3A1E" w:space="0"/>
              <w:bottom w:val="single" w:sz="24" w:color="4A3A1E" w:space="0"/>
              <w:right w:val="single" w:sz="24" w:color="4A3A1E" w:space="0"/>
            </w:tcBorders>
            <w:tcMar>
              <w:top w:w="360" w:type="dxa"/>
              <w:left w:w="540" w:type="dxa"/>
              <w:bottom w:w="360" w:type="dxa"/>
              <w:right w:w="54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Georgia" w:hAnsi="Georgia"/>
                <w:b/>
                <w:i w:val="0"/>
                <w:color w:val="2E2010"/>
                <w:sz w:val="32"/>
                <w:smallCaps w:val="1"/>
                <w:spacing w:val="60"/>
              </w:rPr>
              <w:t>James 1:19</w:t>
            </w:r>
          </w:p>
          <w:p>
            <w:pPr>
              <w:spacing w:before="0" w:after="36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2"/>
              </w:rPr>
              <w:t>Quick to Listen  ·  A Prayer for the Day</w:t>
            </w:r>
          </w:p>
          <w:p>
            <w:pPr>
              <w:spacing w:before="160" w:after="280"/>
              <w:jc w:val="center"/>
            </w:pPr>
            <w:r>
              <w:rPr>
                <w:rFonts w:ascii="Georgia" w:hAnsi="Georgia"/>
                <w:b/>
                <w:i w:val="0"/>
                <w:color w:val="2E2010"/>
                <w:sz w:val="20"/>
                <w:smallCaps w:val="1"/>
                <w:spacing w:val="80"/>
              </w:rPr>
              <w:t>The Bloomed Rendering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Hold this as a thing already known,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my brothers, my beloved: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let every human being carry one quickness only — swift toward the hearing;</w:t>
            </w:r>
          </w:p>
          <w:p>
            <w:pPr>
              <w:spacing w:before="0" w:after="200"/>
              <w:jc w:val="center"/>
            </w:pP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and slow, twice slow — slow to loose the tongue,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slow toward the settled anger, the heat that means to stay.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Hearing is a deed, speech is a deed; wrath is an address — be long arriving.</w:t>
            </w:r>
          </w:p>
          <w:p>
            <w:pPr>
              <w:spacing w:before="0" w:after="200"/>
              <w:jc w:val="center"/>
            </w:pPr>
          </w:p>
          <w:p>
            <w:pPr>
              <w:spacing w:before="80" w:after="200"/>
              <w:jc w:val="center"/>
            </w:pPr>
            <w:r>
              <w:rPr>
                <w:rFonts w:ascii="Georgia" w:hAnsi="Georgia"/>
                <w:b/>
                <w:i w:val="0"/>
                <w:color w:val="2E2010"/>
                <w:sz w:val="20"/>
                <w:smallCaps w:val="1"/>
                <w:spacing w:val="80"/>
              </w:rPr>
              <w:t>The Greek Source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Ἴστε, ἀδελφοί μου ἀγαπητοί.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ἔστω δὲ πᾶς ἄνθρωπος ταχὺς εἰς τὸ ἀκοῦσαι,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βραδὺς εἰς τὸ λαλῆσαι, βραδὺς εἰς ὀργήν·</w:t>
            </w:r>
          </w:p>
          <w:p>
            <w:pPr>
              <w:spacing w:before="0" w:after="80"/>
              <w:jc w:val="center"/>
            </w:pP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Iste, adelphoi mou agapētoi.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estō de pas anthrōpos tachys eis to akousai,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bradys eis to lalēsai, bradys eis orgēn.</w:t>
            </w:r>
          </w:p>
          <w:p>
            <w:pPr>
              <w:spacing w:before="0" w:after="280"/>
              <w:jc w:val="center"/>
            </w:pPr>
          </w:p>
          <w:p>
            <w:pPr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8986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alM-mast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8986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86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