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</w:tblGrid>
      <w:tr>
        <w:tc>
          <w:tcPr>
            <w:tcW w:type="dxa" w:w="7200"/>
            <w:vAlign w:val="top"/>
            <w:shd w:val="clear" w:color="auto" w:fill="D4C18A"/>
            <w:tcBorders>
              <w:top w:val="single" w:sz="24" w:color="4A3A1E" w:space="0"/>
              <w:left w:val="single" w:sz="24" w:color="4A3A1E" w:space="0"/>
              <w:bottom w:val="single" w:sz="24" w:color="4A3A1E" w:space="0"/>
              <w:right w:val="single" w:sz="24" w:color="4A3A1E" w:space="0"/>
            </w:tcBorders>
            <w:tcMar>
              <w:top w:w="360" w:type="dxa"/>
              <w:left w:w="540" w:type="dxa"/>
              <w:bottom w:w="360" w:type="dxa"/>
              <w:right w:w="54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b/>
                <w:i w:val="0"/>
                <w:color w:val="2E2010"/>
                <w:sz w:val="32"/>
                <w:smallCaps w:val="1"/>
                <w:spacing w:val="60"/>
              </w:rPr>
              <w:t>Luke 12:15</w:t>
            </w:r>
          </w:p>
          <w:p>
            <w:pPr>
              <w:spacing w:before="0" w:after="36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2"/>
              </w:rPr>
              <w:t>The Wanting-More  ·  A Prayer for the Day</w:t>
            </w:r>
          </w:p>
          <w:p>
            <w:pPr>
              <w:spacing w:before="160" w:after="28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Bloomed Rendering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Then He said to them: See it, and stand guard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against every form of the wanting-more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the watch is posted on yourself.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for life — the aliveness, not the livelihood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does not sit in the overflow of things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and is not drawn from what a man holds.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what he has may overflow its measure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the life is not in the pile.</w:t>
            </w:r>
          </w:p>
          <w:p>
            <w:pPr>
              <w:spacing w:before="0" w:after="240"/>
              <w:jc w:val="center"/>
            </w:pPr>
          </w:p>
          <w:p>
            <w:pPr>
              <w:spacing w:before="80" w:after="20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Greek Source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εἶπεν δὲ πρὸς αὐτούς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Ὁρᾶτε καὶ φυλάσσεσθε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ἀπὸ πάσης πλεονεξίας,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ὅτι οὐκ ἐν τῷ περισσεύειν τινὶ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ἡ ζωὴ αὐτοῦ ἐστιν ἐκ τῶν ὑπαρχόντων αὐτῷ.</w:t>
            </w:r>
          </w:p>
          <w:p>
            <w:pPr>
              <w:spacing w:before="0" w:after="80"/>
              <w:jc w:val="center"/>
            </w:pP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eipen de pros autous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Horate kai phylassesthe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apo pasēs pleonexias,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hoti ouk en tō perisseuein tini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hē zōē autou estin ek tōn hyparchontōn autō.</w:t>
            </w:r>
          </w:p>
          <w:p>
            <w:pPr>
              <w:spacing w:before="0" w:after="280"/>
              <w:jc w:val="center"/>
            </w:pP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8986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lM-mast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8986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4" w:lineRule="exact"/>
        <w:rPr>
          <w:sz w:val="2"/>
        </w:rPr>
      </w:pPr>
    </w:p>
    <w:sectPr w:rsidR="00FC693F" w:rsidRPr="0006063C" w:rsidSect="00034616">
      <w:pgSz w:w="86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2E20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