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deeps: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 —</w:t>
      </w:r>
    </w:p>
    <w:p>
      <w:pPr>
        <w:keepNext/>
        <w:keepLines/>
        <w:jc w:val="center"/>
      </w:pPr>
      <w:r>
        <w:rPr>
          <w:b w:val="0"/>
          <w:i w:val="0"/>
          <w:sz w:val="22"/>
        </w:rPr>
        <w:t>from olam to olam,</w:t>
      </w:r>
    </w:p>
    <w:p>
      <w:pPr>
        <w:keepLines/>
        <w:jc w:val="center"/>
      </w:pPr>
      <w:r>
        <w:rPr>
          <w:b w:val="0"/>
          <w:i w:val="0"/>
          <w:sz w:val="22"/>
        </w:rPr>
        <w:t>You are God.</w:t>
      </w:r>
    </w:p>
    <w:p>
      <w:pPr>
        <w:keepNext/>
        <w:keepLines/>
        <w:jc w:val="center"/>
      </w:pPr>
      <w:r>
        <w:rPr>
          <w:b/>
          <w:i/>
          <w:sz w:val="20"/>
        </w:rPr>
        <w:t>The Hebrew Source:</w:t>
      </w:r>
    </w:p>
    <w:p>
      <w:pPr>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authorship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Greek did not read a dwelling here at all: it gives refuge, and the Latin made from the Greek carried it into the title by which this psalm was known for a thousand years — Domine refugium tu factus es nobis. Jerome, translating from the Hebrew, kept the dwelling: habitaculum. Some Hebrew manuscripts read refuge too, so the Greek may be following a Hebrew text rather than choosing; the evidence leaves both readings open.</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 —</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 so teach us,</w:t>
      </w:r>
    </w:p>
    <w:p>
      <w:pPr>
        <w:keepNext/>
        <w:keepLines/>
        <w:jc w:val="center"/>
      </w:pPr>
      <w:r>
        <w:rPr>
          <w:b w:val="0"/>
          <w:i w:val="0"/>
          <w:sz w:val="22"/>
        </w:rPr>
        <w:t>that we may carry home</w:t>
      </w:r>
    </w:p>
    <w:p>
      <w:pPr>
        <w:keepLines/>
        <w:jc w:val="center"/>
      </w:pPr>
      <w:r>
        <w:rPr>
          <w:b w:val="0"/>
          <w:i w:val="0"/>
          <w:sz w:val="22"/>
        </w:rPr>
        <w:t>a heart of wisdom — harvest into the barn of the levav.</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 —</w:t>
      </w:r>
    </w:p>
    <w:p>
      <w:pPr>
        <w:keepNext/>
        <w:keepLines/>
        <w:jc w:val="center"/>
      </w:pPr>
      <w:r>
        <w:rPr>
          <w:b w:val="0"/>
          <w:i w:val="0"/>
          <w:sz w:val="22"/>
        </w:rPr>
        <w:t>fill us at first light with loyal-love —</w:t>
      </w:r>
    </w:p>
    <w:p>
      <w:pPr>
        <w:keepNext/>
        <w:keepLines/>
        <w:jc w:val="center"/>
      </w:pPr>
      <w:r>
        <w:rPr>
          <w:b w:val="0"/>
          <w:i w:val="0"/>
          <w:sz w:val="22"/>
        </w:rPr>
        <w:t>and we will sing out and rejoice</w:t>
      </w:r>
    </w:p>
    <w:p>
      <w:pPr>
        <w:keepLines/>
        <w:jc w:val="center"/>
      </w:pPr>
      <w:r>
        <w:rPr>
          <w:b w:val="0"/>
          <w:i w:val="0"/>
          <w:sz w:val="22"/>
        </w:rPr>
        <w:t>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w:t>
      </w:r>
    </w:p>
    <w:p>
      <w:pPr>
        <w:keepNext/>
        <w:keepLines/>
        <w:jc w:val="center"/>
      </w:pPr>
      <w:r>
        <w:rPr>
          <w:b w:val="0"/>
          <w:i w:val="0"/>
          <w:sz w:val="22"/>
        </w:rPr>
        <w:t>the noam, the sweet pleasantness — rest upon us;</w:t>
      </w:r>
    </w:p>
    <w:p>
      <w:pPr>
        <w:keepNext/>
        <w:keepLines/>
        <w:jc w:val="center"/>
      </w:pPr>
      <w:r>
        <w:rPr>
          <w:b w:val="0"/>
          <w:i w:val="0"/>
          <w:sz w:val="22"/>
        </w:rPr>
        <w:t>and the work of our hands — establish it upon us;</w:t>
      </w:r>
    </w:p>
    <w:p>
      <w:pPr>
        <w:keepNext/>
        <w:keepLines/>
        <w:jc w:val="center"/>
      </w:pPr>
      <w:r>
        <w:rPr>
          <w:b w:val="0"/>
          <w:i w:val="0"/>
          <w:sz w:val="22"/>
        </w:rPr>
        <w:t>yes —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Next/>
        <w:keepLines/>
        <w:jc w:val="center"/>
      </w:pPr>
      <w:r>
        <w:rPr>
          <w:b w:val="0"/>
          <w:i w:val="0"/>
          <w:sz w:val="22"/>
        </w:rPr>
        <w:t>The psalm ends with one of the boldest requests in the Psalter: that the verb which established the planet be applied to the work of human hands. Konenehu: establish Thou it.</w:t>
      </w:r>
    </w:p>
    <w:p>
      <w:pPr>
        <w:keepNext/>
        <w:keepLines/>
        <w:jc w:val="center"/>
      </w:pPr>
    </w:p>
    <w:p>
      <w:pPr>
        <w:keepNext/>
        <w:keepLines/>
        <w:pageBreakBefore/>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Next/>
        <w:keepLines/>
        <w:spacing w:after="260" w:before="0"/>
        <w:jc w:val="center"/>
        <w:keepNext w:val="1"/>
        <w:keepLines w:val="1"/>
      </w:pPr>
      <w:r>
        <w:rPr>
          <w:b w:val="0"/>
          <w:i/>
          <w:sz w:val="18"/>
        </w:rPr>
        <w:t>u-ma’aseh yadeinu konenah aleinu, u-ma’aseh yadeinu, konenehu.</w:t>
      </w:r>
    </w:p>
    <w:p>
      <w:pPr>
        <w:keepNext/>
        <w:keepLines/>
        <w:spacing w:line="300" w:lineRule="auto"/>
        <w:jc w:val="center"/>
      </w:pPr>
      <w:r>
        <w:rPr>
          <w:b w:val="0"/>
          <w:i w:val="0"/>
          <w:sz w:val="24"/>
        </w:rPr>
        <w:t>A prayer of Moses, the man of God.</w:t>
      </w:r>
    </w:p>
    <w:p>
      <w:pPr>
        <w:keepNext/>
        <w:keepLines/>
        <w:spacing w:line="300" w:lineRule="auto"/>
        <w:jc w:val="center"/>
      </w:pPr>
      <w:r>
        <w:rPr>
          <w:b w:val="0"/>
          <w:i w:val="0"/>
          <w:sz w:val="24"/>
        </w:rPr>
        <w:t>Lord —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 —</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 —</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 —</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 establish it upon us;</w:t>
      </w:r>
    </w:p>
    <w:p>
      <w:pPr>
        <w:keepNext/>
        <w:keepLines/>
        <w:spacing w:line="300" w:lineRule="auto"/>
        <w:jc w:val="center"/>
      </w:pPr>
      <w:r>
        <w:rPr>
          <w:b w:val="0"/>
          <w:i w:val="0"/>
          <w:sz w:val="24"/>
        </w:rPr>
        <w:t>yes —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The five deeps unfolded through English, then re-set in the source language. Native Hebrew punctuation only.</w:t>
      </w:r>
    </w:p>
    <w:p>
      <w:pPr>
        <w:keepNext/>
        <w:keepLines/>
        <w:spacing w:after="60" w:before="0"/>
        <w:jc w:val="center"/>
        <w:bidi w:val="1"/>
      </w:pPr>
      <w:r>
        <w:rPr>
          <w:b w:val="0"/>
          <w:i w:val="0"/>
          <w:sz w:val="26"/>
          <w:rtl w:val="1"/>
        </w:rPr>
        <w:t>תְּפִלָּה שֶׁל מֹשֶׁה אִישׁ הָאֱלֹהִים׃</w:t>
      </w:r>
    </w:p>
    <w:p>
      <w:pPr>
        <w:keepNext/>
        <w:keepLines/>
        <w:spacing w:after="60" w:before="0"/>
        <w:jc w:val="center"/>
        <w:bidi w:val="1"/>
      </w:pPr>
      <w:r>
        <w:rPr>
          <w:b w:val="0"/>
          <w:i w:val="0"/>
          <w:sz w:val="26"/>
          <w:rtl w:val="1"/>
        </w:rPr>
        <w:t>אֲדֹנָי מָעוֹן הָיִיתָ לָנוּ</w:t>
      </w:r>
    </w:p>
    <w:p>
      <w:pPr>
        <w:keepNext/>
        <w:keepLines/>
        <w:spacing w:after="60" w:before="0"/>
        <w:jc w:val="center"/>
        <w:bidi w:val="1"/>
      </w:pPr>
      <w:r>
        <w:rPr>
          <w:b w:val="0"/>
          <w:i w:val="0"/>
          <w:sz w:val="26"/>
          <w:rtl w:val="1"/>
        </w:rPr>
        <w:t>מִדּוֹר לְדוֹר׃</w:t>
      </w:r>
    </w:p>
    <w:p>
      <w:pPr>
        <w:keepNext/>
        <w:keepLines/>
        <w:spacing w:after="60" w:before="0"/>
        <w:jc w:val="center"/>
        <w:bidi w:val="1"/>
      </w:pPr>
      <w:r>
        <w:rPr>
          <w:b w:val="0"/>
          <w:i w:val="0"/>
          <w:sz w:val="26"/>
          <w:rtl w:val="1"/>
        </w:rPr>
        <w:t>בְּטֶרֶם נוֹלְדוּ הֶהָרִים</w:t>
      </w:r>
    </w:p>
    <w:p>
      <w:pPr>
        <w:keepNext/>
        <w:keepLines/>
        <w:spacing w:after="60" w:before="0"/>
        <w:jc w:val="center"/>
        <w:bidi w:val="1"/>
      </w:pPr>
      <w:r>
        <w:rPr>
          <w:b w:val="0"/>
          <w:i w:val="0"/>
          <w:sz w:val="26"/>
          <w:rtl w:val="1"/>
        </w:rPr>
        <w:t>לִפְנֵי שֶׁחוֹלַלְתָּ אֶת־הָאָרֶץ וְאֶת־הַתֵּבֵל לְהוֹצִיאָם</w:t>
      </w:r>
    </w:p>
    <w:p>
      <w:pPr>
        <w:keepNext/>
        <w:keepLines/>
        <w:spacing w:after="60" w:before="0"/>
        <w:jc w:val="center"/>
        <w:bidi w:val="1"/>
      </w:pPr>
      <w:r>
        <w:rPr>
          <w:b w:val="0"/>
          <w:i w:val="0"/>
          <w:sz w:val="26"/>
          <w:rtl w:val="1"/>
        </w:rPr>
        <w:t>מֵעוֹלָם עַד־עוֹלָם אַתָּה אֵל׃</w:t>
      </w:r>
    </w:p>
    <w:p>
      <w:pPr>
        <w:keepNext/>
        <w:keepLines/>
        <w:spacing w:after="60" w:before="0"/>
        <w:jc w:val="center"/>
        <w:bidi w:val="1"/>
      </w:pPr>
      <w:r>
        <w:rPr>
          <w:b w:val="0"/>
          <w:i w:val="0"/>
          <w:sz w:val="26"/>
          <w:rtl w:val="1"/>
        </w:rPr>
        <w:t>כִּי אֶלֶף שָׁנִים בְּעֵינֶיךָ</w:t>
      </w:r>
    </w:p>
    <w:p>
      <w:pPr>
        <w:keepNext/>
        <w:keepLines/>
        <w:spacing w:after="60" w:before="0"/>
        <w:jc w:val="center"/>
        <w:bidi w:val="1"/>
      </w:pPr>
      <w:r>
        <w:rPr>
          <w:b w:val="0"/>
          <w:i w:val="0"/>
          <w:sz w:val="26"/>
          <w:rtl w:val="1"/>
        </w:rPr>
        <w:t>כְּיוֹם אֶתְמוֹל כַּאֲשֶׁר יַחֲלֹף</w:t>
      </w:r>
    </w:p>
    <w:p>
      <w:pPr>
        <w:keepNext/>
        <w:keepLines/>
        <w:spacing w:after="60" w:before="0"/>
        <w:jc w:val="center"/>
        <w:bidi w:val="1"/>
      </w:pPr>
      <w:r>
        <w:rPr>
          <w:b w:val="0"/>
          <w:i w:val="0"/>
          <w:sz w:val="26"/>
          <w:rtl w:val="1"/>
        </w:rPr>
        <w:t>כְּאַשְׁמוּרָה אַחַת בַּלַּיְלָה׃</w:t>
      </w:r>
    </w:p>
    <w:p>
      <w:pPr>
        <w:keepNext/>
        <w:keepLines/>
        <w:spacing w:after="60" w:before="0"/>
        <w:jc w:val="center"/>
        <w:bidi w:val="1"/>
      </w:pPr>
      <w:r>
        <w:rPr>
          <w:b w:val="0"/>
          <w:i w:val="0"/>
          <w:sz w:val="26"/>
          <w:rtl w:val="1"/>
        </w:rPr>
        <w:t>לִמְנוֹת אֶת־יָמֵינוּ כֵּן לַמְּדֵנוּ</w:t>
      </w:r>
    </w:p>
    <w:p>
      <w:pPr>
        <w:keepNext/>
        <w:keepLines/>
        <w:spacing w:after="60" w:before="0"/>
        <w:jc w:val="center"/>
        <w:bidi w:val="1"/>
      </w:pPr>
      <w:r>
        <w:rPr>
          <w:b w:val="0"/>
          <w:i w:val="0"/>
          <w:sz w:val="26"/>
          <w:rtl w:val="1"/>
        </w:rPr>
        <w:t>לְמַעַן נָבִיא לִבְנוּ לֵבַב חָכְמָה׃</w:t>
      </w:r>
    </w:p>
    <w:p>
      <w:pPr>
        <w:keepNext/>
        <w:keepLines/>
        <w:spacing w:after="60" w:before="0"/>
        <w:jc w:val="center"/>
        <w:bidi w:val="1"/>
      </w:pPr>
      <w:r>
        <w:rPr>
          <w:b w:val="0"/>
          <w:i w:val="0"/>
          <w:sz w:val="26"/>
          <w:rtl w:val="1"/>
        </w:rPr>
        <w:t>שַׂבְּעֵנוּ בַבֹּקֶר בְּחַסְדֶּךָ</w:t>
      </w:r>
    </w:p>
    <w:p>
      <w:pPr>
        <w:keepNext/>
        <w:keepLines/>
        <w:spacing w:after="60" w:before="0"/>
        <w:jc w:val="center"/>
        <w:bidi w:val="1"/>
      </w:pPr>
      <w:r>
        <w:rPr>
          <w:b w:val="0"/>
          <w:i w:val="0"/>
          <w:sz w:val="26"/>
          <w:rtl w:val="1"/>
        </w:rPr>
        <w:t>מַלֵּא אוֹתָנוּ בְּאוֹר הָרִאשׁוֹן בְּאַהֲבָה נֶאֱמָנָה</w:t>
      </w:r>
    </w:p>
    <w:p>
      <w:pPr>
        <w:keepNext/>
        <w:keepLines/>
        <w:spacing w:after="60" w:before="0"/>
        <w:jc w:val="center"/>
        <w:bidi w:val="1"/>
      </w:pPr>
      <w:r>
        <w:rPr>
          <w:b w:val="0"/>
          <w:i w:val="0"/>
          <w:sz w:val="26"/>
          <w:rtl w:val="1"/>
        </w:rPr>
        <w:t>וְנָשִׁיר וְנִשְׂמַח כָּל־יְמֵי חַיֵּינוּ׃</w:t>
      </w:r>
    </w:p>
    <w:p>
      <w:pPr>
        <w:keepNext/>
        <w:keepLines/>
        <w:spacing w:after="60" w:before="0"/>
        <w:jc w:val="center"/>
        <w:bidi w:val="1"/>
      </w:pPr>
      <w:r>
        <w:rPr>
          <w:b w:val="0"/>
          <w:i w:val="0"/>
          <w:sz w:val="26"/>
          <w:rtl w:val="1"/>
        </w:rPr>
        <w:t>וִיהִי נֹעַם אֲדֹנָי אֱלֹהֵינוּ</w:t>
      </w:r>
    </w:p>
    <w:p>
      <w:pPr>
        <w:keepNext/>
        <w:keepLines/>
        <w:spacing w:after="60" w:before="0"/>
        <w:jc w:val="center"/>
        <w:bidi w:val="1"/>
      </w:pPr>
      <w:r>
        <w:rPr>
          <w:b w:val="0"/>
          <w:i w:val="0"/>
          <w:sz w:val="26"/>
          <w:rtl w:val="1"/>
        </w:rPr>
        <w:t>הַנֹּעַם הַמְּתִיקוּת הַנְּעִימָה יָנוּחַ עָלֵינוּ</w:t>
      </w:r>
    </w:p>
    <w:p>
      <w:pPr>
        <w:keepNext/>
        <w:keepLines/>
        <w:spacing w:after="60" w:before="0"/>
        <w:jc w:val="center"/>
        <w:bidi w:val="1"/>
      </w:pPr>
      <w:r>
        <w:rPr>
          <w:b w:val="0"/>
          <w:i w:val="0"/>
          <w:sz w:val="26"/>
          <w:rtl w:val="1"/>
        </w:rPr>
        <w:t>וּמַעֲשֵׂה יָדֵינוּ כּוֹנְנָה אוֹתוֹ עָלֵינוּ</w:t>
      </w:r>
    </w:p>
    <w:p>
      <w:pPr>
        <w:keepNext/>
        <w:keepLines/>
        <w:spacing w:after="60" w:before="0"/>
        <w:jc w:val="center"/>
        <w:bidi w:val="1"/>
      </w:pPr>
      <w:r>
        <w:rPr>
          <w:b w:val="0"/>
          <w:i w:val="0"/>
          <w:sz w:val="26"/>
          <w:rtl w:val="1"/>
        </w:rPr>
        <w:t>כֵּן מַעֲשֵׂה יָדֵינוּ</w:t>
      </w:r>
    </w:p>
    <w:p>
      <w:pPr>
        <w:keepLines/>
        <w:spacing w:after="60" w:before="0"/>
        <w:jc w:val="center"/>
        <w:bidi w:val="1"/>
      </w:pPr>
      <w:r>
        <w:rPr>
          <w:b w:val="0"/>
          <w:i w:val="0"/>
          <w:sz w:val="26"/>
          <w:rtl w:val="1"/>
        </w:rPr>
        <w:t>כּוֹנְנֵהוּ אַתָּה׃</w:t>
      </w:r>
    </w:p>
    <w:p>
      <w:pPr>
        <w:keepNext/>
        <w:keepLines/>
        <w:spacing w:after="120" w:before="0"/>
        <w:jc w:val="center"/>
      </w:pPr>
    </w:p>
    <w:p>
      <w:pPr>
        <w:keepLines/>
        <w:spacing w:after="120" w:before="0"/>
        <w:jc w:val="center"/>
      </w:pPr>
      <w:r>
        <w:rPr>
          <w:b w:val="0"/>
          <w:i/>
          <w:sz w:val="20"/>
        </w:rPr>
        <w:t>— the dor-va-dor drumbeat drifted to mi-dor le-dor (cousin form); vatecholel expanded into a full birth-clause; noam appears twice with an apposition clause the source held in a single word; and the emphatic konenehu at the close came home as the same word, but it brought three of the bloom’s English words with it: oto, ken and attah (it, yes, Thou), none of them in the Hebrew of verse 17.</w:t>
      </w:r>
    </w:p>
    <w:p>
      <w:pPr>
        <w:keepNext/>
        <w:keepLines/>
        <w:jc w:val="center"/>
      </w:pPr>
      <w:r>
        <w:rPr>
          <w:b/>
          <w:i w:val="0"/>
          <w:sz w:val="36"/>
        </w:rPr>
        <w:t>Closing</w:t>
      </w:r>
    </w:p>
    <w:p>
      <w:pPr>
        <w:keepLines/>
        <w:jc w:val="center"/>
      </w:pPr>
      <w:r>
        <w:rPr>
          <w:b w:val="0"/>
          <w:i w:val="0"/>
          <w:sz w:val="22"/>
        </w:rPr>
        <w:t>The Bush-man’s prayer holds a whole grammar in five deeps: the dwelling older than mountains, the horizon doubled, the millennium priced at one sentry-shift, the counting-verb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Lines/>
        <w:jc w:val="center"/>
      </w:pPr>
      <w:r>
        <w:rPr>
          <w:b w:val="0"/>
          <w:i/>
          <w:sz w:val="20"/>
        </w:rPr>
        <w:t>Revisited 7 October 2026 — Free Quarry QC (Opus 5.5) and the Thirteenth Runner’s chisel: errors corrected, cantillation added from the witness, nothing reformatted; final look 10 October 2026.</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