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2613" w:sz="24"/>
              <w:left w:val="single" w:color="382613" w:sz="24"/>
              <w:bottom w:val="single" w:color="382613" w:sz="24"/>
              <w:right w:val="single" w:color="382613" w:sz="24"/>
            </w:tcBorders>
            <w:shd w:fill="D4C189" w:color="auto" w:val="clear"/>
            <w:tcMar>
              <w:top w:type="dxa" w:w="360"/>
              <w:left w:type="dxa" w:w="540"/>
              <w:bottom w:type="dxa" w:w="360"/>
              <w:right w:type="dxa" w:w="540"/>
            </w:tcMar>
            <w:vAlign w:val="top"/>
          </w:tcPr>
          <w:p>
            <w:pPr>
              <w:spacing w:after="60" w:before="0" w:line="36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382613"/>
                <w:spacing w:val="60"/>
                <w:sz w:val="32"/>
                <w:szCs w:val="32"/>
              </w:rPr>
              <w:t xml:space="preserve">The Clickbait Diagnostic</w:t>
            </w:r>
          </w:p>
          <w:p>
            <w:pPr>
              <w:spacing w:after="280" w:line="2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382613"/>
                <w:sz w:val="22"/>
                <w:szCs w:val="22"/>
              </w:rPr>
              <w:t xml:space="preserve">A Carry Tablet  ·  Naming What's Being Done to You</w:t>
            </w:r>
          </w:p>
          <w:p>
            <w:pPr>
              <w:spacing w:after="220" w:before="100" w:line="28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382613"/>
                <w:spacing w:val="80"/>
                <w:sz w:val="20"/>
                <w:szCs w:val="20"/>
              </w:rPr>
              <w:t xml:space="preserve">The Recognition</w:t>
            </w:r>
          </w:p>
          <w:p>
            <w:pPr>
              <w:spacing w:after="80" w:line="32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4"/>
                <w:szCs w:val="24"/>
              </w:rPr>
              <w:t xml:space="preserve">Learn to see the shape</w:t>
            </w:r>
          </w:p>
          <w:p>
            <w:pPr>
              <w:spacing w:after="280" w:line="32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4"/>
                <w:szCs w:val="24"/>
              </w:rPr>
              <w:t xml:space="preserve">before the words can land.</w:t>
            </w:r>
          </w:p>
          <w:p>
            <w:pPr>
              <w:spacing w:after="80" w:line="32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4"/>
                <w:szCs w:val="24"/>
              </w:rPr>
              <w:t xml:space="preserve">Specific entity,</w:t>
            </w:r>
          </w:p>
          <w:p>
            <w:pPr>
              <w:spacing w:after="280" w:line="32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4"/>
                <w:szCs w:val="24"/>
              </w:rPr>
              <w:t xml:space="preserve">plus vague extreme,</w:t>
            </w:r>
          </w:p>
          <w:p>
            <w:pPr>
              <w:spacing w:after="80" w:line="32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4"/>
                <w:szCs w:val="24"/>
              </w:rPr>
              <w:t xml:space="preserve">plus reaction framing —</w:t>
            </w:r>
          </w:p>
          <w:p>
            <w:pPr>
              <w:spacing w:after="280" w:line="32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4"/>
                <w:szCs w:val="24"/>
              </w:rPr>
              <w:t xml:space="preserve">this is the clickbait construction.</w:t>
            </w:r>
          </w:p>
          <w:p>
            <w:pPr>
              <w:spacing w:after="420" w:line="32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4"/>
                <w:szCs w:val="24"/>
              </w:rPr>
              <w:t xml:space="preserve">See it; back away.</w:t>
            </w:r>
          </w:p>
          <w:p>
            <w:pPr>
              <w:spacing w:after="220" w:before="100" w:line="28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382613"/>
                <w:spacing w:val="80"/>
                <w:sz w:val="20"/>
                <w:szCs w:val="20"/>
              </w:rPr>
              <w:t xml:space="preserve">The Mechanism</w:t>
            </w:r>
          </w:p>
          <w:p>
            <w:pPr>
              <w:spacing w:after="60" w:line="360"/>
              <w:jc w:val="center"/>
            </w:pPr>
            <w:r>
              <w:rPr>
                <w:rFonts w:ascii="Georgia" w:cs="Georgia" w:eastAsia="Georgia" w:hAnsi="Georgia"/>
                <w:color w:val="2E2010"/>
                <w:sz w:val="26"/>
                <w:szCs w:val="26"/>
              </w:rPr>
              <w:t xml:space="preserve">The Curiosity Gap (Loewenstein, 1994):</w:t>
            </w:r>
          </w:p>
          <w:p>
            <w:pPr>
              <w:spacing w:after="60" w:line="360"/>
              <w:jc w:val="center"/>
            </w:pPr>
            <w:r>
              <w:rPr>
                <w:rFonts w:ascii="Georgia" w:cs="Georgia" w:eastAsia="Georgia" w:hAnsi="Georgia"/>
                <w:color w:val="2E2010"/>
                <w:sz w:val="26"/>
                <w:szCs w:val="26"/>
              </w:rPr>
              <w:t xml:space="preserve">an engineered asymmetry the brain compulsively closes.</w:t>
            </w:r>
          </w:p>
          <w:p>
            <w:pPr>
              <w:spacing w:after="60" w:line="360"/>
              <w:jc w:val="center"/>
            </w:pPr>
            <w:r>
              <w:rPr>
                <w:rFonts w:ascii="Georgia" w:cs="Georgia" w:eastAsia="Georgia" w:hAnsi="Georgia"/>
                <w:color w:val="2E2010"/>
                <w:sz w:val="26"/>
                <w:szCs w:val="26"/>
              </w:rPr>
              <w:t xml:space="preserve">Negativity bias (Rozin, Royzman, 2001) amplifies the pull.</w:t>
            </w:r>
          </w:p>
          <w:p>
            <w:pPr>
              <w:spacing w:after="220" w:before="100" w:line="28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382613"/>
                <w:spacing w:val="80"/>
                <w:sz w:val="20"/>
                <w:szCs w:val="20"/>
              </w:rPr>
              <w:t xml:space="preserve">The Example</w:t>
            </w:r>
          </w:p>
          <w:p>
            <w:pPr>
              <w:spacing w:after="40" w:line="26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382613"/>
                <w:sz w:val="18"/>
                <w:szCs w:val="18"/>
              </w:rPr>
              <w:t xml:space="preserve">[Named person] just did the [most extreme] thing —</w:t>
            </w:r>
          </w:p>
          <w:p>
            <w:pPr>
              <w:spacing w:after="40" w:line="26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382613"/>
                <w:sz w:val="18"/>
                <w:szCs w:val="18"/>
              </w:rPr>
              <w:t xml:space="preserve">I watched [specific thing] and it was [vague disturbing word] —</w:t>
            </w:r>
          </w:p>
          <w:p>
            <w:pPr>
              <w:spacing w:after="40" w:line="26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382613"/>
                <w:sz w:val="18"/>
                <w:szCs w:val="18"/>
              </w:rPr>
              <w:t xml:space="preserve">Refuse the carrier; recognise the shape.</w:t>
            </w:r>
          </w:p>
          <w:p>
            <w:pPr>
              <w:spacing w:after="40" w:line="26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382613"/>
                <w:sz w:val="18"/>
                <w:szCs w:val="18"/>
              </w:rPr>
              <w:t xml:space="preserve">Words carry force — speak none of theirs.</w:t>
            </w:r>
          </w:p>
          <w:p>
            <w:pPr>
              <w:spacing w:after="280" w:before="240"/>
              <w:jc w:val="center"/>
            </w:pPr>
            <w:r>
              <w:drawing>
                <wp:inline distT="0" distB="0" distL="0" distR="0">
                  <wp:extent cx="152400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86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ce595870ff589f9629648aedb229263a6932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2026-06-11T05:41:29.944Z</dcterms:created>
  <dcterms:modified xsi:type="dcterms:W3CDTF">2026-06-11T05:41:29.944Z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