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  <w:jc w:val="center"/>
      </w:pPr>
      <w:r>
        <w:rPr>
          <w:rFonts w:ascii="Georgia" w:cs="Georgia" w:eastAsia="Georgia" w:hAnsi="Georgia"/>
          <w:b/>
          <w:bCs/>
          <w:color w:val="1B3A1B"/>
          <w:sz w:val="44"/>
          <w:szCs w:val="44"/>
        </w:rPr>
        <w:t xml:space="preserve">The Saturday-Night Pattern</w:t>
      </w:r>
    </w:p>
    <w:p>
      <w:pPr>
        <w:spacing w:after="360" w:before="0" w:line="320"/>
        <w:jc w:val="center"/>
      </w:pPr>
      <w:r>
        <w:rPr>
          <w:rFonts w:ascii="Georgia" w:cs="Georgia" w:eastAsia="Georgia" w:hAnsi="Georgia"/>
          <w:i/>
          <w:iCs/>
          <w:color w:val="1B3A1B"/>
          <w:sz w:val="28"/>
          <w:szCs w:val="28"/>
        </w:rPr>
        <w:t xml:space="preserve">A worked example of the Free Bands Principle</w:t>
      </w:r>
    </w:p>
    <w:p>
      <w:pPr>
        <w:spacing w:after="160" w:before="280" w:line="360"/>
        <w:jc w:val="left"/>
      </w:pPr>
      <w:r>
        <w:rPr>
          <w:rFonts w:ascii="Georgia" w:cs="Georgia" w:eastAsia="Georgia" w:hAnsi="Georgia"/>
          <w:b/>
          <w:bCs/>
          <w:color w:val="1B3A1B"/>
          <w:sz w:val="32"/>
          <w:szCs w:val="32"/>
        </w:rPr>
        <w:t xml:space="preserve">What this is</w:t>
      </w:r>
    </w:p>
    <w:p>
      <w:pPr>
        <w:spacing w:after="160" w:before="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Free Bands Principle names the diagnostic: we are bound by our own chains, and no one in particular is binding us. The individual mind is built for free bands — band-scale practice — while the modern condition has stretched it across structures it cannot cognitively inhabit. This document is a worked example of the diagnostic at work in one ordinary observable place: a Saturday night.</w:t>
      </w:r>
    </w:p>
    <w:p>
      <w:pPr>
        <w:spacing w:after="160" w:before="280" w:line="360"/>
        <w:jc w:val="left"/>
      </w:pPr>
      <w:r>
        <w:rPr>
          <w:rFonts w:ascii="Georgia" w:cs="Georgia" w:eastAsia="Georgia" w:hAnsi="Georgia"/>
          <w:b/>
          <w:bCs/>
          <w:color w:val="1B3A1B"/>
          <w:sz w:val="32"/>
          <w:szCs w:val="32"/>
        </w:rPr>
        <w:t xml:space="preserve">The day-name</w:t>
      </w:r>
    </w:p>
    <w:p>
      <w:pPr>
        <w:spacing w:after="160" w:before="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English week inherits the Roman calendar with the seventh day named for Saturn — the planet of restriction-and-excess in Roman astrology — rather than for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2"/>
          <w:szCs w:val="22"/>
        </w:rPr>
        <w:t xml:space="preserve">Shabbat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the day of rest in the Hebrew tradition. The day-name carries the older Roman theology silently, occupying the slot where Sabbath would otherwise stand. No design-claim is required; the etymology does the work on its own, and the calendar shape is the first emergent layer.</w:t>
      </w:r>
    </w:p>
    <w:p>
      <w:pPr>
        <w:spacing w:after="160" w:before="280" w:line="360"/>
        <w:jc w:val="left"/>
      </w:pPr>
      <w:r>
        <w:rPr>
          <w:rFonts w:ascii="Georgia" w:cs="Georgia" w:eastAsia="Georgia" w:hAnsi="Georgia"/>
          <w:b/>
          <w:bCs/>
          <w:color w:val="1B3A1B"/>
          <w:sz w:val="32"/>
          <w:szCs w:val="32"/>
        </w:rPr>
        <w:t xml:space="preserve">The structural pattern</w:t>
      </w:r>
    </w:p>
    <w:p>
      <w:pPr>
        <w:spacing w:after="160" w:before="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contemporary Saturday-night pattern is observable: high alcohol consumption on Saturday nights, lower Sunday-morning church attendance, State tax revenue from liquor sales. These three are correlated; they are not coordinated. No one needs to know when church is — the pattern emerged from independent commercial, regulatory, and cultural histories that aligned to produce a self-reinforcing structure. The apparatus that makes a participant incapable of worship on Sunday morning pays the State a dividend on the Saturday night the participant spent making themselves incapable. A closed loop in effect, never a closed loop in design — which is precisely the diagnostic's point. Emergent structure at this register is harder to refuse than any conspiracy, because no coordinator means no single point of failure to attack.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2"/>
          <w:szCs w:val="22"/>
        </w:rPr>
        <w:t xml:space="preserve">Ha-satan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(the Accuser) and </w:t>
      </w:r>
      <w:r>
        <w:rPr>
          <w:rFonts w:ascii="Georgia" w:cs="Georgia" w:eastAsia="Georgia" w:hAnsi="Georgia"/>
          <w:b w:val="false"/>
          <w:bCs w:val="false"/>
          <w:i/>
          <w:iCs/>
          <w:color w:val="1A1A1A"/>
          <w:sz w:val="22"/>
          <w:szCs w:val="22"/>
        </w:rPr>
        <w:t xml:space="preserve">diabolos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(the Divider) operate through this kind of emergent corruption rather than coordinated design; the Saturday-night structure is the Adversary's signature in post-industrial capitalism precisely because no one is signing it.</w:t>
      </w:r>
    </w:p>
    <w:p>
      <w:pPr>
        <w:spacing w:after="160" w:before="280" w:line="360"/>
        <w:jc w:val="left"/>
      </w:pPr>
      <w:r>
        <w:rPr>
          <w:rFonts w:ascii="Georgia" w:cs="Georgia" w:eastAsia="Georgia" w:hAnsi="Georgia"/>
          <w:b/>
          <w:bCs/>
          <w:color w:val="1B3A1B"/>
          <w:sz w:val="32"/>
          <w:szCs w:val="32"/>
        </w:rPr>
        <w:t xml:space="preserve">The maturation inversion</w:t>
      </w:r>
    </w:p>
    <w:p>
      <w:pPr>
        <w:spacing w:after="160" w:before="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second pattern visible inside the same Saturday-night venue: the maturation inversion. Girls made up as women, boys grown as children — two opposite distortions of the same biological clock running on the same dance floor. The mechanism is emergent selection: the consumer economy rewards female premature-sexualisation through one set of incentive structures (the manufactured-maturity vector), and rewards male prolonged adolescence through another (the manufactured-immaturity vector). Two paired distortions produced by two independent profit incentives — no designer needed. Predator and prey configured in inverted aging states, meeting in the same room, without any coordination between the vectors that produced them.</w:t>
      </w:r>
    </w:p>
    <w:p>
      <w:pPr>
        <w:spacing w:after="160" w:before="280" w:line="360"/>
        <w:jc w:val="left"/>
      </w:pPr>
      <w:r>
        <w:rPr>
          <w:rFonts w:ascii="Georgia" w:cs="Georgia" w:eastAsia="Georgia" w:hAnsi="Georgia"/>
          <w:b/>
          <w:bCs/>
          <w:color w:val="1B3A1B"/>
          <w:sz w:val="32"/>
          <w:szCs w:val="32"/>
        </w:rPr>
        <w:t xml:space="preserve">The counter-image</w:t>
      </w:r>
    </w:p>
    <w:p>
      <w:pPr>
        <w:spacing w:after="160" w:before="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counter-image is available in the same kind of space. Two men in their 40s playing video games at an arcade — the activity coded as juvenile, performed un-ironically by people grown enough to perform it without identifying with it. The inverse of the boys-as-children pattern: grown men playing children's games as grown men. Not infantilised; integrated. Different operation entirely. What changes is not the activity but the practitioner's relationship to it.</w:t>
      </w:r>
    </w:p>
    <w:p>
      <w:pPr>
        <w:spacing w:after="160" w:before="280" w:line="360"/>
        <w:jc w:val="left"/>
      </w:pPr>
      <w:r>
        <w:rPr>
          <w:rFonts w:ascii="Georgia" w:cs="Georgia" w:eastAsia="Georgia" w:hAnsi="Georgia"/>
          <w:b/>
          <w:bCs/>
          <w:color w:val="1B3A1B"/>
          <w:sz w:val="32"/>
          <w:szCs w:val="32"/>
        </w:rPr>
        <w:t xml:space="preserve">Somatic discernment</w:t>
      </w:r>
    </w:p>
    <w:p>
      <w:pPr>
        <w:spacing w:after="160" w:before="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practitioner's body-level aversion to Saturday-night culture — a tiny hang-up about the night, an aversion not yet argued through — can be the chamber-tradition's discipline already operating in the reflexes. The body senses the structural pattern before the mind has had to argue it through. Widely attested in the contemplative traditions; consistent with the corpus's Ultra-Body discipline.</w:t>
      </w:r>
    </w:p>
    <w:p>
      <w:pPr>
        <w:spacing w:after="160" w:before="280" w:line="360"/>
        <w:jc w:val="left"/>
      </w:pPr>
      <w:r>
        <w:rPr>
          <w:rFonts w:ascii="Georgia" w:cs="Georgia" w:eastAsia="Georgia" w:hAnsi="Georgia"/>
          <w:b/>
          <w:bCs/>
          <w:color w:val="1B3A1B"/>
          <w:sz w:val="32"/>
          <w:szCs w:val="32"/>
        </w:rPr>
        <w:t xml:space="preserve">What follows from this</w:t>
      </w:r>
    </w:p>
    <w:p>
      <w:pPr>
        <w:spacing w:after="160" w:before="0" w:line="32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worked example illustrates the principle's most important calibration: emergent evil is harder to refuse than designed evil, because there is no central enemy to attack and no coordinator to dismantle. The response is at band-scale: Wednesday men's groups, household-scale liturgy, neighbourhood-scale community — the cognitive scale the human creature actually inhabits, providing the alternative pattern in the gaps the emergent system cannot fully colonise. The response is not coordinated counter-attack on a central villain; it is reconstitution of band-scale practice in the spaces left.</w:t>
      </w:r>
    </w:p>
    <w:p>
      <w:pPr>
        <w:spacing w:after="20" w:before="60"/>
        <w:jc w:val="center"/>
      </w:pPr>
      <w:r>
        <w:rPr>
          <w:rFonts w:ascii="Georgia" w:cs="Georgia" w:eastAsia="Georgia" w:hAnsi="Georgia"/>
          <w:sz w:val="44"/>
          <w:szCs w:val="44"/>
        </w:rPr>
        <w:t xml:space="preserve">🕊</w:t>
      </w:r>
    </w:p>
    <w:p>
      <w:pPr>
        <w:spacing w:after="80" w:before="0" w:line="280"/>
        <w:jc w:val="center"/>
      </w:pPr>
      <w:r>
        <w:rPr>
          <w:rFonts w:ascii="Georgia" w:cs="Georgia" w:eastAsia="Georgia" w:hAnsi="Georgia"/>
          <w:i/>
          <w:iCs/>
          <w:color w:val="1B3A1B"/>
          <w:sz w:val="20"/>
          <w:szCs w:val="20"/>
        </w:rPr>
        <w:t xml:space="preserve">Observation by Paul · Recalibration in dialogue · Perth · 4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2026-06-04T18:45:21.515Z</dcterms:created>
  <dcterms:modified xsi:type="dcterms:W3CDTF">2026-06-04T18:45:21.516Z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