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PASIEN RISIKO TINGGI</w:t>
      </w:r>
    </w:p>
    <w:p>
      <w:r>
        <w:t>Tanggal: 09 November 2025</w:t>
      </w:r>
    </w:p>
    <w:p/>
    <w:p>
      <w:pPr>
        <w:pStyle w:val="Heading1"/>
      </w:pPr>
      <w:r>
        <w:t>Ringkasan</w:t>
      </w:r>
    </w:p>
    <w:p>
      <w:r>
        <w:t>Total pasien risiko tinggi: 3 orang</w:t>
      </w:r>
    </w:p>
    <w:p/>
    <w:p>
      <w:pPr>
        <w:pStyle w:val="Heading1"/>
      </w:pPr>
      <w:r>
        <w:t>Daftar Pasien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 RM</w:t>
            </w:r>
          </w:p>
        </w:tc>
        <w:tc>
          <w:tcPr>
            <w:tcW w:type="dxa" w:w="1728"/>
          </w:tcPr>
          <w:p>
            <w:r>
              <w:t>Nama</w:t>
            </w:r>
          </w:p>
        </w:tc>
        <w:tc>
          <w:tcPr>
            <w:tcW w:type="dxa" w:w="1728"/>
          </w:tcPr>
          <w:p>
            <w:r>
              <w:t>Umur</w:t>
            </w:r>
          </w:p>
        </w:tc>
        <w:tc>
          <w:tcPr>
            <w:tcW w:type="dxa" w:w="1728"/>
          </w:tcPr>
          <w:p>
            <w:r>
              <w:t>Diagnosa</w:t>
            </w:r>
          </w:p>
        </w:tc>
        <w:tc>
          <w:tcPr>
            <w:tcW w:type="dxa" w:w="1728"/>
          </w:tcPr>
          <w:p>
            <w:r>
              <w:t>Biaya</w:t>
            </w:r>
          </w:p>
        </w:tc>
      </w:tr>
      <w:tr>
        <w:tc>
          <w:tcPr>
            <w:tcW w:type="dxa" w:w="1728"/>
          </w:tcPr>
          <w:p>
            <w:r>
              <w:t>RM-001</w:t>
            </w:r>
          </w:p>
        </w:tc>
        <w:tc>
          <w:tcPr>
            <w:tcW w:type="dxa" w:w="1728"/>
          </w:tcPr>
          <w:p>
            <w:r>
              <w:t>Ahmad Rizky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Diabetes Mellitus</w:t>
            </w:r>
          </w:p>
        </w:tc>
        <w:tc>
          <w:tcPr>
            <w:tcW w:type="dxa" w:w="1728"/>
          </w:tcPr>
          <w:p>
            <w:r>
              <w:t>Rp 750,000</w:t>
            </w:r>
          </w:p>
        </w:tc>
      </w:tr>
      <w:tr>
        <w:tc>
          <w:tcPr>
            <w:tcW w:type="dxa" w:w="1728"/>
          </w:tcPr>
          <w:p>
            <w:r>
              <w:t>RM-003</w:t>
            </w:r>
          </w:p>
        </w:tc>
        <w:tc>
          <w:tcPr>
            <w:tcW w:type="dxa" w:w="1728"/>
          </w:tcPr>
          <w:p>
            <w:r>
              <w:t>Budi Santoso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Gastritis</w:t>
            </w:r>
          </w:p>
        </w:tc>
        <w:tc>
          <w:tcPr>
            <w:tcW w:type="dxa" w:w="1728"/>
          </w:tcPr>
          <w:p>
            <w:r>
              <w:t>Rp 350,000</w:t>
            </w:r>
          </w:p>
        </w:tc>
      </w:tr>
      <w:tr>
        <w:tc>
          <w:tcPr>
            <w:tcW w:type="dxa" w:w="1728"/>
          </w:tcPr>
          <w:p>
            <w:r>
              <w:t>RM-005</w:t>
            </w:r>
          </w:p>
        </w:tc>
        <w:tc>
          <w:tcPr>
            <w:tcW w:type="dxa" w:w="1728"/>
          </w:tcPr>
          <w:p>
            <w:r>
              <w:t>Eko Prasetyo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Diabetes Mellitus</w:t>
            </w:r>
          </w:p>
        </w:tc>
        <w:tc>
          <w:tcPr>
            <w:tcW w:type="dxa" w:w="1728"/>
          </w:tcPr>
          <w:p>
            <w:r>
              <w:t>Rp 800,000</w:t>
            </w:r>
          </w:p>
        </w:tc>
      </w:tr>
    </w:tbl>
    <w:p/>
    <w:p>
      <w:pPr>
        <w:pStyle w:val="Heading1"/>
      </w:pPr>
      <w:r>
        <w:t>Rekomendasi</w:t>
      </w:r>
    </w:p>
    <w:p>
      <w:r>
        <w:t>1. Follow-up intensif untuk pasien di atas 40 tahun</w:t>
      </w:r>
    </w:p>
    <w:p>
      <w:r>
        <w:t>2. Monitoring biaya treatment untuk kasus kompleks</w:t>
      </w:r>
    </w:p>
    <w:p>
      <w:r>
        <w:t>3. Case conference untuk pasien dengan biaya &gt; Rp 700.000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