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400.008" w:lineRule="auto"/>
        <w:jc w:val="left"/>
        <w:rPr>
          <w:rFonts w:ascii="Google Sans" w:cs="Google Sans" w:eastAsia="Google Sans" w:hAnsi="Google Sans"/>
          <w:color w:val="212121"/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212121"/>
          <w:sz w:val="48"/>
          <w:szCs w:val="48"/>
          <w:rtl w:val="0"/>
        </w:rPr>
        <w:t xml:space="preserve">Scope</w:t>
      </w:r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8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Review security  controls and compliance practices  already in place.</w:t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8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Review assets including employee equipment and devices, Internal network , and systems.</w:t>
      </w:r>
    </w:p>
    <w:p w:rsidR="00000000" w:rsidDel="00000000" w:rsidP="00000000" w:rsidRDefault="00000000" w:rsidRPr="00000000" w14:paraId="00000004">
      <w:pPr>
        <w:pStyle w:val="Heading1"/>
        <w:spacing w:after="0" w:before="180" w:line="400.008" w:lineRule="auto"/>
        <w:jc w:val="center"/>
        <w:rPr>
          <w:rFonts w:ascii="Google Sans" w:cs="Google Sans" w:eastAsia="Google Sans" w:hAnsi="Google Sans"/>
          <w:color w:val="212121"/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212121"/>
          <w:sz w:val="48"/>
          <w:szCs w:val="48"/>
          <w:rtl w:val="0"/>
        </w:rPr>
        <w:t xml:space="preserve">Goals</w:t>
      </w:r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 -   Assess existing assets and complete the controls and compliance checklist to:</w:t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3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Maintaining compliance and business operations as the company grows.</w:t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3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Secure the company's infrastructure.</w:t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13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hfp7bykhep8h" w:id="0"/>
      <w:bookmarkEnd w:id="0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Identify and mitigate potential risk, threats, or vulnerabilities.</w:t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3"/>
        </w:numPr>
        <w:spacing w:after="0" w:before="0" w:lineRule="auto"/>
        <w:ind w:left="880" w:hanging="360"/>
        <w:rPr>
          <w:sz w:val="22"/>
          <w:szCs w:val="22"/>
        </w:rPr>
      </w:pPr>
      <w:bookmarkStart w:colFirst="0" w:colLast="0" w:name="_t7hdllu2yjnz" w:id="1"/>
      <w:bookmarkEnd w:id="1"/>
      <w:r w:rsidDel="00000000" w:rsidR="00000000" w:rsidRPr="00000000">
        <w:rPr>
          <w:rFonts w:ascii="Google Sans" w:cs="Google Sans" w:eastAsia="Google Sans" w:hAnsi="Google Sans"/>
          <w:color w:val="212121"/>
          <w:sz w:val="22"/>
          <w:szCs w:val="22"/>
          <w:rtl w:val="0"/>
        </w:rPr>
        <w:t xml:space="preserve">Comply with regulations to internally process and accept online payments and conduct business in the EU.</w:t>
      </w:r>
    </w:p>
    <w:p w:rsidR="00000000" w:rsidDel="00000000" w:rsidP="00000000" w:rsidRDefault="00000000" w:rsidRPr="00000000" w14:paraId="00000009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Multiple controls need to be implemented to improve Botium Toys’ security posture and better ensure the confidentiality of sensitive information including:  Least Privilege, Disaster recovery plans, password policies, separation of duties, Intrusion detection system, backups, manual monitoring and maintenance of legacy systems, Encryption, password management system.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To address the gaps in compliance, Botium Toys needs to implement controls such as Least privileges, separation of duties, and encryption.  The company also needs to properly classify assets , to identify additional controls that need to be implemented to improve the security posture of the company and better protect sensitive information. 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■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" TargetMode="External"/><Relationship Id="rId7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