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720"/>
        <w:rPr/>
      </w:pPr>
      <w:r w:rsidDel="00000000" w:rsidR="00000000" w:rsidRPr="00000000">
        <w:rPr>
          <w:rtl w:val="0"/>
        </w:rPr>
        <w:t xml:space="preserve">The purpose of this cybersecurity vulnerability assessment is to evaluate the potential risk with current access and control systems.  Our customer database is a valuable asset that is accessible to generate leads for our employees.  Having a secure access control system will allow for an increased security posture by securing customer data and ensuring integrity across our business operations.  The customer database is our main source for leads, any attack could handicap employees in doing their jobs successfully and/or shut down critical business functions..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before="0" w:line="276" w:lineRule="auto"/>
              <w:ind w:right="-30"/>
              <w:rPr>
                <w:i w:val="1"/>
              </w:rPr>
            </w:pPr>
            <w:r w:rsidDel="00000000" w:rsidR="00000000" w:rsidRPr="00000000">
              <w:rPr>
                <w:color w:val="000000"/>
                <w:rtl w:val="0"/>
              </w:rPr>
              <w:t xml:space="preserve">Disrupt mission-critical operations.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0" w:line="276" w:lineRule="auto"/>
              <w:ind w:right="-30"/>
              <w:rPr>
                <w:i w:val="1"/>
              </w:rPr>
            </w:pPr>
            <w:r w:rsidDel="00000000" w:rsidR="00000000" w:rsidRPr="00000000">
              <w:rPr>
                <w:color w:val="000000"/>
                <w:rtl w:val="0"/>
              </w:rPr>
              <w:t xml:space="preserve">Alter/Delete critical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were measured and considered with  the current access control  management  of the business.  Potential threats were considered  and events were determined likely  to happen given the current public availability of the database.  The severity of each incident was weighed  against the impact of mission-critical operations of the company.</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