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Arial" w:hAnsi="Arial"/>
          <w:sz w:val="22"/>
        </w:rPr>
        <w:t xml:space="preserve">Here is a comprehensive, science-focused overview of cytokine-based cancer therapies from 2021 to 2025.</w:t>
      </w:r>
    </w:p>
    <w:bookmarkStart w:id="47" w:name="X8b5a869b947cab920eaf2809599e2b506fc9656"/>
    <w:p>
      <w:pPr>
        <w:pStyle w:val="Heading2"/>
      </w:pPr>
      <w:r>
        <w:rPr>
          <w:rFonts w:ascii="Arial" w:hAnsi="Arial"/>
          <w:b/>
        </w:rPr>
        <w:t xml:space="preserve">The Cytokine Renaissance: A Five-Year Review of Cancer Immunotherapy (2021-2025)</w:t>
      </w:r>
    </w:p>
    <w:p>
      <w:pPr>
        <w:pStyle w:val="FirstParagraph"/>
      </w:pPr>
      <w:r>
        <w:rPr>
          <w:rFonts w:ascii="Arial" w:hAnsi="Arial"/>
          <w:b/>
          <w:bCs/>
          <w:sz w:val="22"/>
        </w:rPr>
        <w:t xml:space="preserve">Current Date: 2026-01-08</w:t>
      </w:r>
    </w:p>
    <w:bookmarkStart w:id="19" w:name="executive-summary"/>
    <w:p>
      <w:pPr>
        <w:pStyle w:val="Heading3"/>
      </w:pPr>
      <w:r>
        <w:rPr>
          <w:rFonts w:ascii="Arial" w:hAnsi="Arial"/>
          <w:b/>
          <w:bCs/>
        </w:rPr>
        <w:t xml:space="preserve">Executive Summary</w:t>
      </w:r>
    </w:p>
    <w:p>
      <w:pPr>
        <w:pStyle w:val="FirstParagraph"/>
      </w:pPr>
      <w:r>
        <w:rPr>
          <w:rFonts w:ascii="Arial" w:hAnsi="Arial"/>
          <w:sz w:val="22"/>
        </w:rPr>
        <w:t xml:space="preserve">The period between 2021 and 2025 has marked a pivotal chapter for cytokine-based cancer therapies. Moving beyond the high-toxicity era of native cytokines like high-dose IL-2, the field has undergone a renaissance driven by sophisticated protein engineering. The core objective has been to uncouple potent anti-tumor efficacy from dose-limiting systemic toxicities. This overview synthesizes the scientific, clinical, and corporate landscape of this evolution, highlighting key trends and future trajectories.</w:t>
      </w:r>
    </w:p>
    <w:p>
      <w:pPr>
        <w:pStyle w:val="BodyText"/>
      </w:pPr>
      <w:r>
        <w:rPr>
          <w:rFonts w:ascii="Arial" w:hAnsi="Arial"/>
          <w:b/>
          <w:bCs/>
          <w:sz w:val="22"/>
        </w:rPr>
        <w:t xml:space="preserve">Key Takeaways:</w:t>
      </w:r>
    </w:p>
    <w:p>
      <w:pPr>
        <w:pStyle w:val="Compact"/>
        <w:numPr>
          <w:ilvl w:val="0"/>
          <w:numId w:val="1001"/>
        </w:numPr>
      </w:pPr>
      <w:r>
        <w:rPr>
          <w:rFonts w:ascii="Arial" w:hAnsi="Arial"/>
          <w:b/>
          <w:bCs/>
          <w:sz w:val="22"/>
        </w:rPr>
        <w:t xml:space="preserve">Engineering is King:</w:t>
      </w:r>
      <w:r>
        <w:rPr>
          <w:rFonts w:ascii="Arial" w:hAnsi="Arial"/>
          <w:sz w:val="22"/>
        </w:rPr>
        <w:t xml:space="preserve"> </w:t>
      </w:r>
      <w:r>
        <w:rPr>
          <w:rFonts w:ascii="Arial" w:hAnsi="Arial"/>
          <w:sz w:val="22"/>
        </w:rPr>
        <w:t xml:space="preserve">The landscape is dominated by engineered formats designed to improve the therapeutic window. These include</w:t>
      </w:r>
      <w:r>
        <w:rPr>
          <w:rFonts w:ascii="Arial" w:hAnsi="Arial"/>
          <w:sz w:val="22"/>
        </w:rPr>
        <w:t xml:space="preserve"> </w:t>
      </w:r>
      <w:r>
        <w:rPr>
          <w:rFonts w:ascii="Arial" w:hAnsi="Arial"/>
          <w:sz w:val="22"/>
        </w:rPr>
        <w:t xml:space="preserve">“not-alpha”</w:t>
      </w:r>
      <w:r>
        <w:rPr>
          <w:rFonts w:ascii="Arial" w:hAnsi="Arial"/>
          <w:sz w:val="22"/>
        </w:rPr>
        <w:t xml:space="preserve"> </w:t>
      </w:r>
      <w:r>
        <w:rPr>
          <w:rFonts w:ascii="Arial" w:hAnsi="Arial"/>
          <w:sz w:val="22"/>
        </w:rPr>
        <w:t xml:space="preserve">IL-2 variants, IL-15 superagonists, tumor-targeted immunocytokines, and conditionally-activated</w:t>
      </w:r>
      <w:r>
        <w:rPr>
          <w:rFonts w:ascii="Arial" w:hAnsi="Arial"/>
          <w:sz w:val="22"/>
        </w:rPr>
        <w:t xml:space="preserve"> </w:t>
      </w:r>
      <w:r>
        <w:rPr>
          <w:rFonts w:ascii="Arial" w:hAnsi="Arial"/>
          <w:sz w:val="22"/>
        </w:rPr>
        <w:t xml:space="preserve">“masked”</w:t>
      </w:r>
      <w:r>
        <w:rPr>
          <w:rFonts w:ascii="Arial" w:hAnsi="Arial"/>
          <w:sz w:val="22"/>
        </w:rPr>
        <w:t xml:space="preserve"> </w:t>
      </w:r>
      <w:r>
        <w:rPr>
          <w:rFonts w:ascii="Arial" w:hAnsi="Arial"/>
          <w:sz w:val="22"/>
        </w:rPr>
        <w:t xml:space="preserve">or</w:t>
      </w:r>
      <w:r>
        <w:rPr>
          <w:rFonts w:ascii="Arial" w:hAnsi="Arial"/>
          <w:sz w:val="22"/>
        </w:rPr>
        <w:t xml:space="preserve"> </w:t>
      </w:r>
      <w:r>
        <w:rPr>
          <w:rFonts w:ascii="Arial" w:hAnsi="Arial"/>
          <w:sz w:val="22"/>
        </w:rPr>
        <w:t xml:space="preserve">“pro-drug”</w:t>
      </w:r>
      <w:r>
        <w:rPr>
          <w:rFonts w:ascii="Arial" w:hAnsi="Arial"/>
          <w:sz w:val="22"/>
        </w:rPr>
        <w:t xml:space="preserve"> </w:t>
      </w:r>
      <w:r>
        <w:rPr>
          <w:rFonts w:ascii="Arial" w:hAnsi="Arial"/>
          <w:sz w:val="22"/>
        </w:rPr>
        <w:t xml:space="preserve">cytokines.</w:t>
      </w:r>
    </w:p>
    <w:p>
      <w:pPr>
        <w:pStyle w:val="Compact"/>
        <w:numPr>
          <w:ilvl w:val="0"/>
          <w:numId w:val="1001"/>
        </w:numPr>
      </w:pPr>
      <w:r>
        <w:rPr>
          <w:rFonts w:ascii="Arial" w:hAnsi="Arial"/>
          <w:b/>
          <w:bCs/>
          <w:sz w:val="22"/>
        </w:rPr>
        <w:t xml:space="preserve">IL-15 Takes Center Stage:</w:t>
      </w:r>
      <w:r>
        <w:rPr>
          <w:rFonts w:ascii="Arial" w:hAnsi="Arial"/>
          <w:sz w:val="22"/>
        </w:rPr>
        <w:t xml:space="preserve"> </w:t>
      </w:r>
      <w:r>
        <w:rPr>
          <w:rFonts w:ascii="Arial" w:hAnsi="Arial"/>
          <w:sz w:val="22"/>
        </w:rPr>
        <w:t xml:space="preserve">Interleukin-15 has emerged as a leading next-generation cytokine due to its ability to potently activate CD8+ T cells and NK cells without significantly expanding immunosuppressive regulatory T cells (Tregs). The IL-15 superagonist nogapendekin alfa inbakicept (N-803) is a frontrunner, with a Biologics License Application (BLA) under FDA review for bladder cancer</w:t>
      </w:r>
      <w:r>
        <w:rPr>
          <w:rFonts w:ascii="Arial" w:hAnsi="Arial"/>
          <w:sz w:val="22"/>
        </w:rPr>
        <w:t xml:space="preserve"> </w:t>
      </w:r>
      <w:hyperlink r:id="rId9">
        <w:r>
          <w:rPr>
            <w:rStyle w:val="Hyperlink"/>
          </w:rPr>
          <w:t xml:space="preserve">4</w:t>
        </w:r>
      </w:hyperlink>
      <w:r>
        <w:rPr>
          <w:rFonts w:ascii="Arial" w:hAnsi="Arial"/>
          <w:sz w:val="22"/>
        </w:rPr>
        <w:t xml:space="preserve">.</w:t>
      </w:r>
    </w:p>
    <w:p>
      <w:pPr>
        <w:pStyle w:val="Compact"/>
        <w:numPr>
          <w:ilvl w:val="0"/>
          <w:numId w:val="1001"/>
        </w:numPr>
      </w:pPr>
      <w:r>
        <w:rPr>
          <w:rFonts w:ascii="Arial" w:hAnsi="Arial"/>
          <w:b/>
          <w:bCs/>
          <w:sz w:val="22"/>
        </w:rPr>
        <w:t xml:space="preserve">Failures Illuminate the Path:</w:t>
      </w:r>
      <w:r>
        <w:rPr>
          <w:rFonts w:ascii="Arial" w:hAnsi="Arial"/>
          <w:sz w:val="22"/>
        </w:rPr>
        <w:t xml:space="preserve"> </w:t>
      </w:r>
      <w:r>
        <w:rPr>
          <w:rFonts w:ascii="Arial" w:hAnsi="Arial"/>
          <w:sz w:val="22"/>
        </w:rPr>
        <w:t xml:space="preserve">The period was also defined by high-profile clinical setbacks, such as the discontinuation of bempegaldesleukin (engineered IL-2) and nemvaleukin alfa (IL-2 mutein) in certain indications</w:t>
      </w:r>
      <w:r>
        <w:rPr>
          <w:rFonts w:ascii="Arial" w:hAnsi="Arial"/>
          <w:sz w:val="22"/>
        </w:rPr>
        <w:t xml:space="preserve"> </w:t>
      </w:r>
      <w:hyperlink r:id="rId10">
        <w:r>
          <w:rPr>
            <w:rStyle w:val="Hyperlink"/>
          </w:rPr>
          <w:t xml:space="preserve">13</w:t>
        </w:r>
      </w:hyperlink>
      <w:hyperlink r:id="rId11">
        <w:r>
          <w:rPr>
            <w:rStyle w:val="Hyperlink"/>
          </w:rPr>
          <w:t xml:space="preserve">14</w:t>
        </w:r>
      </w:hyperlink>
      <w:r>
        <w:rPr>
          <w:rFonts w:ascii="Arial" w:hAnsi="Arial"/>
          <w:sz w:val="22"/>
        </w:rPr>
        <w:t xml:space="preserve">. These failures have provided crucial lessons, underscoring the complexity of cytokine pharmacology and redirecting research toward more refined targeting and delivery strategies.</w:t>
      </w:r>
    </w:p>
    <w:p>
      <w:pPr>
        <w:pStyle w:val="Compact"/>
        <w:numPr>
          <w:ilvl w:val="0"/>
          <w:numId w:val="1001"/>
        </w:numPr>
      </w:pPr>
      <w:r>
        <w:rPr>
          <w:rFonts w:ascii="Arial" w:hAnsi="Arial"/>
          <w:b/>
          <w:bCs/>
          <w:sz w:val="22"/>
        </w:rPr>
        <w:t xml:space="preserve">Combinations are the Standard:</w:t>
      </w:r>
      <w:r>
        <w:rPr>
          <w:rFonts w:ascii="Arial" w:hAnsi="Arial"/>
          <w:sz w:val="22"/>
        </w:rPr>
        <w:t xml:space="preserve"> </w:t>
      </w:r>
      <w:r>
        <w:rPr>
          <w:rFonts w:ascii="Arial" w:hAnsi="Arial"/>
          <w:sz w:val="22"/>
        </w:rPr>
        <w:t xml:space="preserve">Monotherapy is rare. The vast majority of cytokine programs are being developed in combination with checkpoint inhibitors (CPIs), cell therapies (e.g., CAR-T), or chemotherapy to achieve synergistic effects within the tumor microenvironment (TME)</w:t>
      </w:r>
      <w:r>
        <w:rPr>
          <w:rFonts w:ascii="Arial" w:hAnsi="Arial"/>
          <w:sz w:val="22"/>
        </w:rPr>
        <w:t xml:space="preserve"> </w:t>
      </w:r>
      <w:hyperlink r:id="rId12">
        <w:r>
          <w:rPr>
            <w:rStyle w:val="Hyperlink"/>
          </w:rPr>
          <w:t xml:space="preserve">7</w:t>
        </w:r>
      </w:hyperlink>
      <w:hyperlink r:id="rId13">
        <w:r>
          <w:rPr>
            <w:rStyle w:val="Hyperlink"/>
          </w:rPr>
          <w:t xml:space="preserve">8</w:t>
        </w:r>
      </w:hyperlink>
      <w:r>
        <w:rPr>
          <w:rFonts w:ascii="Arial" w:hAnsi="Arial"/>
          <w:sz w:val="22"/>
        </w:rPr>
        <w:t xml:space="preserve">.</w:t>
      </w:r>
    </w:p>
    <w:p>
      <w:pPr>
        <w:pStyle w:val="Compact"/>
        <w:numPr>
          <w:ilvl w:val="0"/>
          <w:numId w:val="1001"/>
        </w:numPr>
      </w:pPr>
      <w:r>
        <w:rPr>
          <w:rFonts w:ascii="Arial" w:hAnsi="Arial"/>
          <w:b/>
          <w:bCs/>
          <w:sz w:val="22"/>
        </w:rPr>
        <w:t xml:space="preserve">The Rise of Tumor-Targeting:</w:t>
      </w:r>
      <w:r>
        <w:rPr>
          <w:rFonts w:ascii="Arial" w:hAnsi="Arial"/>
          <w:sz w:val="22"/>
        </w:rPr>
        <w:t xml:space="preserve"> </w:t>
      </w:r>
      <w:r>
        <w:rPr>
          <w:rFonts w:ascii="Arial" w:hAnsi="Arial"/>
          <w:sz w:val="22"/>
        </w:rPr>
        <w:t xml:space="preserve">A major strategic shift involves confining cytokine activity to the tumor. This is being achieved through antibody-cytokine fusions that target tumor antigens, as well as innovative protease-activated pro-drugs that are</w:t>
      </w:r>
      <w:r>
        <w:rPr>
          <w:rFonts w:ascii="Arial" w:hAnsi="Arial"/>
          <w:sz w:val="22"/>
        </w:rPr>
        <w:t xml:space="preserve"> </w:t>
      </w:r>
      <w:r>
        <w:rPr>
          <w:rFonts w:ascii="Arial" w:hAnsi="Arial"/>
          <w:sz w:val="22"/>
        </w:rPr>
        <w:t xml:space="preserve">“unmasked”</w:t>
      </w:r>
      <w:r>
        <w:rPr>
          <w:rFonts w:ascii="Arial" w:hAnsi="Arial"/>
          <w:sz w:val="22"/>
        </w:rPr>
        <w:t xml:space="preserve"> </w:t>
      </w:r>
      <w:r>
        <w:rPr>
          <w:rFonts w:ascii="Arial" w:hAnsi="Arial"/>
          <w:sz w:val="22"/>
        </w:rPr>
        <w:t xml:space="preserve">only within the TME</w:t>
      </w:r>
      <w:r>
        <w:rPr>
          <w:rFonts w:ascii="Arial" w:hAnsi="Arial"/>
          <w:sz w:val="22"/>
        </w:rPr>
        <w:t xml:space="preserve"> </w:t>
      </w:r>
      <w:hyperlink r:id="rId14">
        <w:r>
          <w:rPr>
            <w:rStyle w:val="Hyperlink"/>
          </w:rPr>
          <w:t xml:space="preserve">5</w:t>
        </w:r>
      </w:hyperlink>
      <w:hyperlink r:id="rId15">
        <w:r>
          <w:rPr>
            <w:rStyle w:val="Hyperlink"/>
          </w:rPr>
          <w:t xml:space="preserve">24</w:t>
        </w:r>
      </w:hyperlink>
      <w:hyperlink r:id="rId16">
        <w:r>
          <w:rPr>
            <w:rStyle w:val="Hyperlink"/>
          </w:rPr>
          <w:t xml:space="preserve">29</w:t>
        </w:r>
      </w:hyperlink>
      <w:r>
        <w:rPr>
          <w:rFonts w:ascii="Arial" w:hAnsi="Arial"/>
          <w:sz w:val="22"/>
        </w:rPr>
        <w:t xml:space="preserve">.</w:t>
      </w:r>
    </w:p>
    <w:p>
      <w:pPr>
        <w:pStyle w:val="Compact"/>
        <w:numPr>
          <w:ilvl w:val="0"/>
          <w:numId w:val="1001"/>
        </w:numPr>
      </w:pPr>
      <w:r>
        <w:rPr>
          <w:rFonts w:ascii="Arial" w:hAnsi="Arial"/>
          <w:b/>
          <w:bCs/>
          <w:sz w:val="22"/>
        </w:rPr>
        <w:t xml:space="preserve">Regulatory Hurdles Remain:</w:t>
      </w:r>
      <w:r>
        <w:rPr>
          <w:rFonts w:ascii="Arial" w:hAnsi="Arial"/>
          <w:sz w:val="22"/>
        </w:rPr>
        <w:t xml:space="preserve"> </w:t>
      </w:r>
      <w:r>
        <w:rPr>
          <w:rFonts w:ascii="Arial" w:hAnsi="Arial"/>
          <w:sz w:val="22"/>
        </w:rPr>
        <w:t xml:space="preserve">Despite intense research and development, no new standalone cytokine biologics received FDA or EMA approval for major solid tumor indications between 2021 and late 2025, highlighting the high bar for demonstrating a favorable risk-benefit profile</w:t>
      </w:r>
      <w:r>
        <w:rPr>
          <w:rFonts w:ascii="Arial" w:hAnsi="Arial"/>
          <w:sz w:val="22"/>
        </w:rPr>
        <w:t xml:space="preserve"> </w:t>
      </w:r>
      <w:hyperlink r:id="rId17">
        <w:r>
          <w:rPr>
            <w:rStyle w:val="Hyperlink"/>
          </w:rPr>
          <w:t xml:space="preserve">10</w:t>
        </w:r>
      </w:hyperlink>
      <w:hyperlink r:id="rId18">
        <w:r>
          <w:rPr>
            <w:rStyle w:val="Hyperlink"/>
          </w:rPr>
          <w:t xml:space="preserve">22</w:t>
        </w:r>
      </w:hyperlink>
      <w:r>
        <w:rPr>
          <w:rFonts w:ascii="Arial" w:hAnsi="Arial"/>
          <w:sz w:val="22"/>
        </w:rPr>
        <w:t xml:space="preserve">.</w:t>
      </w:r>
    </w:p>
    <w:p>
      <w:r>
        <w:rPr>
          <w:rFonts w:ascii="Arial" w:hAnsi="Arial"/>
          <w:sz w:val="22"/>
        </w:rPr>
        <w:pict>
          <v:rect style="width:0;height:1.5pt" o:hralign="center" o:hrstd="t" o:hr="t"/>
        </w:pict>
      </w:r>
    </w:p>
    <w:bookmarkEnd w:id="19"/>
    <w:bookmarkStart w:id="38" w:name="landscape-mapping-by-cytokine-class"/>
    <w:p>
      <w:pPr>
        <w:pStyle w:val="Heading3"/>
      </w:pPr>
      <w:r>
        <w:rPr>
          <w:rFonts w:ascii="Arial" w:hAnsi="Arial"/>
          <w:b/>
          <w:bCs/>
        </w:rPr>
        <w:t xml:space="preserve">Landscape Mapping by Cytokine Class</w:t>
      </w:r>
    </w:p>
    <w:p>
      <w:pPr>
        <w:pStyle w:val="FirstParagraph"/>
      </w:pPr>
      <w:r>
        <w:rPr>
          <w:rFonts w:ascii="Arial" w:hAnsi="Arial"/>
          <w:sz w:val="22"/>
        </w:rPr>
        <w:t xml:space="preserve">The evolution of cytokine therapy is best understood by examining the progress and challenges within each major cytokine family.</w:t>
      </w:r>
    </w:p>
    <w:bookmarkStart w:id="25" w:name="X8283c15f31e490da4726e872b925e57de35e3f5"/>
    <w:p>
      <w:pPr>
        <w:pStyle w:val="Heading4"/>
      </w:pPr>
      <w:r>
        <w:rPr>
          <w:rFonts w:ascii="Arial" w:hAnsi="Arial"/>
          <w:b/>
          <w:bCs/>
        </w:rPr>
        <w:t xml:space="preserve">1. Interleukin-2 (IL-2): Taming a Double-Edged Sword</w:t>
      </w:r>
    </w:p>
    <w:p>
      <w:pPr>
        <w:pStyle w:val="FirstParagraph"/>
      </w:pPr>
      <w:r>
        <w:rPr>
          <w:rFonts w:ascii="Arial" w:hAnsi="Arial"/>
          <w:sz w:val="22"/>
        </w:rPr>
        <w:t xml:space="preserve">High-dose aldesleukin (recombinant IL-2) is a legacy therapy capable of inducing durable responses in melanoma and renal cell carcinoma (RCC), but its utility is severely limited by a</w:t>
      </w:r>
      <w:r>
        <w:rPr>
          <w:rFonts w:ascii="Arial" w:hAnsi="Arial"/>
          <w:sz w:val="22"/>
        </w:rPr>
        <w:t xml:space="preserve"> </w:t>
      </w:r>
      <w:r>
        <w:rPr>
          <w:rFonts w:ascii="Arial" w:hAnsi="Arial"/>
          <w:sz w:val="22"/>
        </w:rPr>
        <w:t xml:space="preserve">“pro-Treg bias”</w:t>
      </w:r>
      <w:r>
        <w:rPr>
          <w:rFonts w:ascii="Arial" w:hAnsi="Arial"/>
          <w:sz w:val="22"/>
        </w:rPr>
        <w:t xml:space="preserve"> </w:t>
      </w:r>
      <w:r>
        <w:rPr>
          <w:rFonts w:ascii="Arial" w:hAnsi="Arial"/>
          <w:sz w:val="22"/>
        </w:rPr>
        <w:t xml:space="preserve">(binding the high-affinity IL-2Rα on Tregs) and life-threatening toxicities like vascular leak syndrome</w:t>
      </w:r>
      <w:r>
        <w:rPr>
          <w:rFonts w:ascii="Arial" w:hAnsi="Arial"/>
          <w:sz w:val="22"/>
        </w:rPr>
        <w:t xml:space="preserve"> </w:t>
      </w:r>
      <w:hyperlink r:id="rId20">
        <w:r>
          <w:rPr>
            <w:rStyle w:val="Hyperlink"/>
          </w:rPr>
          <w:t xml:space="preserve">3</w:t>
        </w:r>
      </w:hyperlink>
      <w:r>
        <w:rPr>
          <w:rFonts w:ascii="Arial" w:hAnsi="Arial"/>
          <w:sz w:val="22"/>
        </w:rPr>
        <w:t xml:space="preserve">. The 2021-2025 period has been defined by strategies to overcome these limitations.</w:t>
      </w:r>
    </w:p>
    <w:p>
      <w:pPr>
        <w:pStyle w:val="BodyText"/>
      </w:pPr>
      <w:r>
        <w:rPr>
          <w:rFonts w:ascii="Arial" w:hAnsi="Arial"/>
          <w:b/>
          <w:bCs/>
          <w:sz w:val="22"/>
        </w:rPr>
        <w:t xml:space="preserve">Mechanism &amp; Rationale for New Approaches:</w:t>
      </w:r>
    </w:p>
    <w:p>
      <w:pPr>
        <w:pStyle w:val="BodyText"/>
      </w:pPr>
      <w:r>
        <w:rPr>
          <w:rFonts w:ascii="Arial" w:hAnsi="Arial"/>
          <w:sz w:val="22"/>
        </w:rPr>
        <w:t xml:space="preserve">The goal is to bias signaling toward the intermediate-affinity IL-2Rβγ complex, which is predominantly expressed on effector CD8+ T cells and NK cells, while avoiding the high-affinity IL-2Rαβγ complex on Tregs.</w:t>
      </w:r>
    </w:p>
    <w:p>
      <w:pPr>
        <w:pStyle w:val="BodyText"/>
      </w:pPr>
      <w:r>
        <w:rPr>
          <w:rFonts w:ascii="Arial" w:hAnsi="Arial"/>
          <w:b/>
          <w:bCs/>
          <w:sz w:val="22"/>
        </w:rPr>
        <w:t xml:space="preserve">Key Development Formats &amp; Programs:</w:t>
      </w:r>
    </w:p>
    <w:p>
      <w:pPr>
        <w:numPr>
          <w:ilvl w:val="0"/>
          <w:numId w:val="1002"/>
        </w:numPr>
      </w:pPr>
      <w:r>
        <w:rPr>
          <w:rFonts w:ascii="Arial" w:hAnsi="Arial"/>
          <w:b/>
          <w:bCs/>
          <w:sz w:val="22"/>
        </w:rPr>
        <w:t xml:space="preserve">“Not-Alpha”</w:t>
      </w:r>
      <w:r>
        <w:rPr>
          <w:rFonts w:ascii="Arial" w:hAnsi="Arial"/>
          <w:b/>
          <w:bCs/>
          <w:sz w:val="22"/>
        </w:rPr>
        <w:t xml:space="preserve"> </w:t>
      </w:r>
      <w:r>
        <w:rPr>
          <w:rFonts w:ascii="Arial" w:hAnsi="Arial"/>
          <w:b/>
          <w:bCs/>
          <w:sz w:val="22"/>
        </w:rPr>
        <w:t xml:space="preserve">IL-2 Muteins:</w:t>
      </w:r>
      <w:r>
        <w:rPr>
          <w:rFonts w:ascii="Arial" w:hAnsi="Arial"/>
          <w:sz w:val="22"/>
        </w:rPr>
        <w:t xml:space="preserve"> </w:t>
      </w:r>
      <w:r>
        <w:rPr>
          <w:rFonts w:ascii="Arial" w:hAnsi="Arial"/>
          <w:sz w:val="22"/>
        </w:rPr>
        <w:t xml:space="preserve">These are IL-2 variants with mutations in the IL-2Rα binding domain.</w:t>
      </w:r>
    </w:p>
    <w:p>
      <w:pPr>
        <w:pStyle w:val="Compact"/>
        <w:numPr>
          <w:ilvl w:val="1"/>
          <w:numId w:val="1003"/>
        </w:numPr>
      </w:pPr>
      <w:r>
        <w:rPr>
          <w:rFonts w:ascii="Arial" w:hAnsi="Arial"/>
          <w:b/>
          <w:bCs/>
          <w:sz w:val="22"/>
        </w:rPr>
        <w:t xml:space="preserve">Nemvaleukin Alfa (ALKS-4230):</w:t>
      </w:r>
      <w:r>
        <w:rPr>
          <w:rFonts w:ascii="Arial" w:hAnsi="Arial"/>
          <w:sz w:val="22"/>
        </w:rPr>
        <w:t xml:space="preserve"> </w:t>
      </w:r>
      <w:r>
        <w:rPr>
          <w:rFonts w:ascii="Arial" w:hAnsi="Arial"/>
          <w:sz w:val="22"/>
        </w:rPr>
        <w:t xml:space="preserve">An IL-2/IL-2Rα fusion protein designed to preferentially activate IL-2Rβγ. Despite early promise, the Phase 3 ARTISTRY-7 trial in platinum-resistant ovarian cancer was stopped in March 2025 for futility after an interim analysis showed no overall survival benefit (HR 0.98) versus chemotherapy</w:t>
      </w:r>
      <w:r>
        <w:rPr>
          <w:rFonts w:ascii="Arial" w:hAnsi="Arial"/>
          <w:sz w:val="22"/>
        </w:rPr>
        <w:t xml:space="preserve"> </w:t>
      </w:r>
      <w:hyperlink r:id="rId11">
        <w:r>
          <w:rPr>
            <w:rStyle w:val="Hyperlink"/>
          </w:rPr>
          <w:t xml:space="preserve">14</w:t>
        </w:r>
      </w:hyperlink>
      <w:r>
        <w:rPr>
          <w:rFonts w:ascii="Arial" w:hAnsi="Arial"/>
          <w:sz w:val="22"/>
        </w:rPr>
        <w:t xml:space="preserve">.</w:t>
      </w:r>
    </w:p>
    <w:p>
      <w:pPr>
        <w:pStyle w:val="Compact"/>
        <w:numPr>
          <w:ilvl w:val="1"/>
          <w:numId w:val="1003"/>
        </w:numPr>
      </w:pPr>
      <w:r>
        <w:rPr>
          <w:rFonts w:ascii="Arial" w:hAnsi="Arial"/>
          <w:b/>
          <w:bCs/>
          <w:sz w:val="22"/>
        </w:rPr>
        <w:t xml:space="preserve">Bempegaldesleukin (NKTR-214):</w:t>
      </w:r>
      <w:r>
        <w:rPr>
          <w:rFonts w:ascii="Arial" w:hAnsi="Arial"/>
          <w:sz w:val="22"/>
        </w:rPr>
        <w:t xml:space="preserve"> </w:t>
      </w:r>
      <w:r>
        <w:rPr>
          <w:rFonts w:ascii="Arial" w:hAnsi="Arial"/>
          <w:sz w:val="22"/>
        </w:rPr>
        <w:t xml:space="preserve">A PEGylated IL-2 prodrug designed for gradual release. Global development was terminated in 2022 after multiple Phase 3 trials in combination with nivolumab failed to show an efficacy benefit over the control arm in melanoma, RCC, and bladder cancer</w:t>
      </w:r>
      <w:r>
        <w:rPr>
          <w:rFonts w:ascii="Arial" w:hAnsi="Arial"/>
          <w:sz w:val="22"/>
        </w:rPr>
        <w:t xml:space="preserve"> </w:t>
      </w:r>
      <w:hyperlink r:id="rId10">
        <w:r>
          <w:rPr>
            <w:rStyle w:val="Hyperlink"/>
          </w:rPr>
          <w:t xml:space="preserve">13</w:t>
        </w:r>
      </w:hyperlink>
      <w:r>
        <w:rPr>
          <w:rFonts w:ascii="Arial" w:hAnsi="Arial"/>
          <w:sz w:val="22"/>
        </w:rPr>
        <w:t xml:space="preserve">.</w:t>
      </w:r>
    </w:p>
    <w:p>
      <w:pPr>
        <w:pStyle w:val="Compact"/>
        <w:numPr>
          <w:ilvl w:val="1"/>
          <w:numId w:val="1003"/>
        </w:numPr>
      </w:pPr>
      <w:r>
        <w:rPr>
          <w:rFonts w:ascii="Arial" w:hAnsi="Arial"/>
          <w:b/>
          <w:bCs/>
          <w:sz w:val="22"/>
        </w:rPr>
        <w:t xml:space="preserve">F5111:</w:t>
      </w:r>
      <w:r>
        <w:rPr>
          <w:rFonts w:ascii="Arial" w:hAnsi="Arial"/>
          <w:sz w:val="22"/>
        </w:rPr>
        <w:t xml:space="preserve"> </w:t>
      </w:r>
      <w:r>
        <w:rPr>
          <w:rFonts w:ascii="Arial" w:hAnsi="Arial"/>
          <w:sz w:val="22"/>
        </w:rPr>
        <w:t xml:space="preserve">A preclinical immunocytokine fusing a</w:t>
      </w:r>
      <w:r>
        <w:rPr>
          <w:rFonts w:ascii="Arial" w:hAnsi="Arial"/>
          <w:sz w:val="22"/>
        </w:rPr>
        <w:t xml:space="preserve"> </w:t>
      </w:r>
      <w:r>
        <w:rPr>
          <w:rFonts w:ascii="Arial" w:hAnsi="Arial"/>
          <w:sz w:val="22"/>
        </w:rPr>
        <w:t xml:space="preserve">“not-alpha”</w:t>
      </w:r>
      <w:r>
        <w:rPr>
          <w:rFonts w:ascii="Arial" w:hAnsi="Arial"/>
          <w:sz w:val="22"/>
        </w:rPr>
        <w:t xml:space="preserve"> </w:t>
      </w:r>
      <w:r>
        <w:rPr>
          <w:rFonts w:ascii="Arial" w:hAnsi="Arial"/>
          <w:sz w:val="22"/>
        </w:rPr>
        <w:t xml:space="preserve">IL-2 to an anti-PD-1 antibody, showing superior tumor regression compared to wild-type IL-2 in mouse models</w:t>
      </w:r>
      <w:r>
        <w:rPr>
          <w:rFonts w:ascii="Arial" w:hAnsi="Arial"/>
          <w:sz w:val="22"/>
        </w:rPr>
        <w:t xml:space="preserve"> </w:t>
      </w:r>
      <w:hyperlink r:id="rId20">
        <w:r>
          <w:rPr>
            <w:rStyle w:val="Hyperlink"/>
          </w:rPr>
          <w:t xml:space="preserve">3</w:t>
        </w:r>
      </w:hyperlink>
      <w:r>
        <w:rPr>
          <w:rFonts w:ascii="Arial" w:hAnsi="Arial"/>
          <w:sz w:val="22"/>
        </w:rPr>
        <w:t xml:space="preserve">.</w:t>
      </w:r>
    </w:p>
    <w:p>
      <w:pPr>
        <w:numPr>
          <w:ilvl w:val="0"/>
          <w:numId w:val="1002"/>
        </w:numPr>
      </w:pPr>
      <w:r>
        <w:rPr>
          <w:rFonts w:ascii="Arial" w:hAnsi="Arial"/>
          <w:b/>
          <w:bCs/>
          <w:sz w:val="22"/>
        </w:rPr>
        <w:t xml:space="preserve">Tumor-Targeted Immunocytokines:</w:t>
      </w:r>
      <w:r>
        <w:rPr>
          <w:rFonts w:ascii="Arial" w:hAnsi="Arial"/>
          <w:sz w:val="22"/>
        </w:rPr>
        <w:t xml:space="preserve"> </w:t>
      </w:r>
      <w:r>
        <w:rPr>
          <w:rFonts w:ascii="Arial" w:hAnsi="Arial"/>
          <w:sz w:val="22"/>
        </w:rPr>
        <w:t xml:space="preserve">These fuse IL-2 to an antibody that targets a tumor-associated antigen, concentrating the cytokine’s effect.</w:t>
      </w:r>
    </w:p>
    <w:p>
      <w:pPr>
        <w:pStyle w:val="Compact"/>
        <w:numPr>
          <w:ilvl w:val="1"/>
          <w:numId w:val="1004"/>
        </w:numPr>
      </w:pPr>
      <w:r>
        <w:rPr>
          <w:rFonts w:ascii="Arial" w:hAnsi="Arial"/>
          <w:b/>
          <w:bCs/>
          <w:sz w:val="22"/>
        </w:rPr>
        <w:t xml:space="preserve">Darleukin (L19-IL2):</w:t>
      </w:r>
      <w:r>
        <w:rPr>
          <w:rFonts w:ascii="Arial" w:hAnsi="Arial"/>
          <w:sz w:val="22"/>
        </w:rPr>
        <w:t xml:space="preserve"> </w:t>
      </w:r>
      <w:r>
        <w:rPr>
          <w:rFonts w:ascii="Arial" w:hAnsi="Arial"/>
          <w:sz w:val="22"/>
        </w:rPr>
        <w:t xml:space="preserve">Fuses IL-2 to an antibody targeting the extra-domain B (ED-B) of fibronectin, a marker of tumor angiogenesis. It is in Phase 2 trials for skin cancer</w:t>
      </w:r>
      <w:r>
        <w:rPr>
          <w:rFonts w:ascii="Arial" w:hAnsi="Arial"/>
          <w:sz w:val="22"/>
        </w:rPr>
        <w:t xml:space="preserve"> </w:t>
      </w:r>
      <w:hyperlink r:id="rId21">
        <w:r>
          <w:rPr>
            <w:rStyle w:val="Hyperlink"/>
          </w:rPr>
          <w:t xml:space="preserve">1</w:t>
        </w:r>
      </w:hyperlink>
      <w:r>
        <w:rPr>
          <w:rFonts w:ascii="Arial" w:hAnsi="Arial"/>
          <w:sz w:val="22"/>
        </w:rPr>
        <w:t xml:space="preserve">.</w:t>
      </w:r>
    </w:p>
    <w:p>
      <w:pPr>
        <w:pStyle w:val="Compact"/>
        <w:numPr>
          <w:ilvl w:val="1"/>
          <w:numId w:val="1004"/>
        </w:numPr>
      </w:pPr>
      <w:r>
        <w:rPr>
          <w:rFonts w:ascii="Arial" w:hAnsi="Arial"/>
          <w:b/>
          <w:bCs/>
          <w:sz w:val="22"/>
        </w:rPr>
        <w:t xml:space="preserve">EMD-273063 (hu14.18-IL2):</w:t>
      </w:r>
      <w:r>
        <w:rPr>
          <w:rFonts w:ascii="Arial" w:hAnsi="Arial"/>
          <w:sz w:val="22"/>
        </w:rPr>
        <w:t xml:space="preserve"> </w:t>
      </w:r>
      <w:r>
        <w:rPr>
          <w:rFonts w:ascii="Arial" w:hAnsi="Arial"/>
          <w:sz w:val="22"/>
        </w:rPr>
        <w:t xml:space="preserve">An immunocytokine targeting GD2, in Phase 2 for skin cancer</w:t>
      </w:r>
      <w:r>
        <w:rPr>
          <w:rFonts w:ascii="Arial" w:hAnsi="Arial"/>
          <w:sz w:val="22"/>
        </w:rPr>
        <w:t xml:space="preserve"> </w:t>
      </w:r>
      <w:hyperlink r:id="rId21">
        <w:r>
          <w:rPr>
            <w:rStyle w:val="Hyperlink"/>
          </w:rPr>
          <w:t xml:space="preserve">1</w:t>
        </w:r>
      </w:hyperlink>
      <w:r>
        <w:rPr>
          <w:rFonts w:ascii="Arial" w:hAnsi="Arial"/>
          <w:sz w:val="22"/>
        </w:rPr>
        <w:t xml:space="preserve">.</w:t>
      </w:r>
    </w:p>
    <w:p>
      <w:pPr>
        <w:numPr>
          <w:ilvl w:val="0"/>
          <w:numId w:val="1002"/>
        </w:numPr>
      </w:pPr>
      <w:r>
        <w:rPr>
          <w:rFonts w:ascii="Arial" w:hAnsi="Arial"/>
          <w:b/>
          <w:bCs/>
          <w:sz w:val="22"/>
        </w:rPr>
        <w:t xml:space="preserve">Masked/Conditionally Active IL-2:</w:t>
      </w:r>
    </w:p>
    <w:p>
      <w:pPr>
        <w:pStyle w:val="Compact"/>
        <w:numPr>
          <w:ilvl w:val="1"/>
          <w:numId w:val="1005"/>
        </w:numPr>
      </w:pPr>
      <w:r>
        <w:rPr>
          <w:rFonts w:ascii="Arial" w:hAnsi="Arial"/>
          <w:b/>
          <w:bCs/>
          <w:sz w:val="22"/>
        </w:rPr>
        <w:t xml:space="preserve">XTX202:</w:t>
      </w:r>
      <w:r>
        <w:rPr>
          <w:rFonts w:ascii="Arial" w:hAnsi="Arial"/>
          <w:sz w:val="22"/>
        </w:rPr>
        <w:t xml:space="preserve"> </w:t>
      </w:r>
      <w:r>
        <w:rPr>
          <w:rFonts w:ascii="Arial" w:hAnsi="Arial"/>
          <w:sz w:val="22"/>
        </w:rPr>
        <w:t xml:space="preserve">A protease-activated IL-2 pro-drug from Xilio Therapeutics. The company halted further monotherapy investment in 2024 to seek partners, reflecting the challenging development path for this class</w:t>
      </w:r>
      <w:r>
        <w:rPr>
          <w:rFonts w:ascii="Arial" w:hAnsi="Arial"/>
          <w:sz w:val="22"/>
        </w:rPr>
        <w:t xml:space="preserve"> </w:t>
      </w:r>
      <w:hyperlink r:id="rId22">
        <w:r>
          <w:rPr>
            <w:rStyle w:val="Hyperlink"/>
          </w:rPr>
          <w:t xml:space="preserve">18</w:t>
        </w:r>
      </w:hyperlink>
      <w:r>
        <w:rPr>
          <w:rFonts w:ascii="Arial" w:hAnsi="Arial"/>
          <w:sz w:val="22"/>
        </w:rPr>
        <w:t xml:space="preserve">.</w:t>
      </w:r>
    </w:p>
    <w:p>
      <w:pPr>
        <w:numPr>
          <w:ilvl w:val="0"/>
          <w:numId w:val="1002"/>
        </w:numPr>
      </w:pPr>
      <w:r>
        <w:rPr>
          <w:rFonts w:ascii="Arial" w:hAnsi="Arial"/>
          <w:b/>
          <w:bCs/>
          <w:sz w:val="22"/>
        </w:rPr>
        <w:t xml:space="preserve">Patented Innovations:</w:t>
      </w:r>
      <w:r>
        <w:rPr>
          <w:rFonts w:ascii="Arial" w:hAnsi="Arial"/>
          <w:sz w:val="22"/>
        </w:rPr>
        <w:t xml:space="preserve"> </w:t>
      </w:r>
      <w:r>
        <w:rPr>
          <w:rFonts w:ascii="Arial" w:hAnsi="Arial"/>
          <w:sz w:val="22"/>
        </w:rPr>
        <w:t xml:space="preserve">Recent patents highlight the focus on Fc-fusions for half-life extension</w:t>
      </w:r>
      <w:r>
        <w:rPr>
          <w:rFonts w:ascii="Arial" w:hAnsi="Arial"/>
          <w:sz w:val="22"/>
        </w:rPr>
        <w:t xml:space="preserve"> </w:t>
      </w:r>
      <w:hyperlink r:id="rId23">
        <w:r>
          <w:rPr>
            <w:rStyle w:val="Hyperlink"/>
          </w:rPr>
          <w:t xml:space="preserve">23</w:t>
        </w:r>
      </w:hyperlink>
      <w:r>
        <w:rPr>
          <w:rFonts w:ascii="Arial" w:hAnsi="Arial"/>
          <w:sz w:val="22"/>
        </w:rPr>
        <w:t xml:space="preserve">, protease-cleavable masks</w:t>
      </w:r>
      <w:r>
        <w:rPr>
          <w:rFonts w:ascii="Arial" w:hAnsi="Arial"/>
          <w:sz w:val="22"/>
        </w:rPr>
        <w:t xml:space="preserve"> </w:t>
      </w:r>
      <w:hyperlink r:id="rId15">
        <w:r>
          <w:rPr>
            <w:rStyle w:val="Hyperlink"/>
          </w:rPr>
          <w:t xml:space="preserve">24</w:t>
        </w:r>
      </w:hyperlink>
      <w:r>
        <w:rPr>
          <w:rFonts w:ascii="Arial" w:hAnsi="Arial"/>
          <w:sz w:val="22"/>
        </w:rPr>
        <w:t xml:space="preserve">, and</w:t>
      </w:r>
      <w:r>
        <w:rPr>
          <w:rFonts w:ascii="Arial" w:hAnsi="Arial"/>
          <w:sz w:val="22"/>
        </w:rPr>
        <w:t xml:space="preserve"> </w:t>
      </w:r>
      <w:r>
        <w:rPr>
          <w:rFonts w:ascii="Arial" w:hAnsi="Arial"/>
          <w:sz w:val="22"/>
        </w:rPr>
        <w:t xml:space="preserve">“orthogonal”</w:t>
      </w:r>
      <w:r>
        <w:rPr>
          <w:rFonts w:ascii="Arial" w:hAnsi="Arial"/>
          <w:sz w:val="22"/>
        </w:rPr>
        <w:t xml:space="preserve"> </w:t>
      </w:r>
      <w:r>
        <w:rPr>
          <w:rFonts w:ascii="Arial" w:hAnsi="Arial"/>
          <w:sz w:val="22"/>
        </w:rPr>
        <w:t xml:space="preserve">IL-2 systems designed to activate only engineered immune cells</w:t>
      </w:r>
      <w:r>
        <w:rPr>
          <w:rFonts w:ascii="Arial" w:hAnsi="Arial"/>
          <w:sz w:val="22"/>
        </w:rPr>
        <w:t xml:space="preserve"> </w:t>
      </w:r>
      <w:hyperlink r:id="rId24">
        <w:r>
          <w:rPr>
            <w:rStyle w:val="Hyperlink"/>
          </w:rPr>
          <w:t xml:space="preserve">25</w:t>
        </w:r>
      </w:hyperlink>
      <w:r>
        <w:rPr>
          <w:rFonts w:ascii="Arial" w:hAnsi="Arial"/>
          <w:sz w:val="22"/>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Drug Name</w:t>
            </w:r>
          </w:p>
        </w:tc>
        <w:tc>
          <w:tcPr/>
          <w:p>
            <w:pPr>
              <w:pStyle w:val="Compact"/>
              <w:jc w:val="left"/>
            </w:pPr>
            <w:r>
              <w:t xml:space="preserve">Format</w:t>
            </w:r>
          </w:p>
        </w:tc>
        <w:tc>
          <w:tcPr/>
          <w:p>
            <w:pPr>
              <w:pStyle w:val="Compact"/>
              <w:jc w:val="left"/>
            </w:pPr>
            <w:r>
              <w:t xml:space="preserve">Lead Indication</w:t>
            </w:r>
          </w:p>
        </w:tc>
        <w:tc>
          <w:tcPr/>
          <w:p>
            <w:pPr>
              <w:pStyle w:val="Compact"/>
              <w:jc w:val="left"/>
            </w:pPr>
            <w:r>
              <w:t xml:space="preserve">Phase</w:t>
            </w:r>
          </w:p>
        </w:tc>
        <w:tc>
          <w:tcPr/>
          <w:p>
            <w:pPr>
              <w:pStyle w:val="Compact"/>
              <w:jc w:val="left"/>
            </w:pPr>
            <w:r>
              <w:t xml:space="preserve">Company</w:t>
            </w:r>
          </w:p>
        </w:tc>
      </w:tr>
      <w:tr>
        <w:tc>
          <w:tcPr/>
          <w:p>
            <w:pPr>
              <w:pStyle w:val="Compact"/>
              <w:jc w:val="left"/>
            </w:pPr>
            <w:r>
              <w:rPr>
                <w:b/>
                <w:bCs/>
              </w:rPr>
              <w:t xml:space="preserve">Nemvaleukin Alfa</w:t>
            </w:r>
          </w:p>
        </w:tc>
        <w:tc>
          <w:tcPr/>
          <w:p>
            <w:pPr>
              <w:pStyle w:val="Compact"/>
              <w:jc w:val="left"/>
            </w:pPr>
            <w:r>
              <w:t xml:space="preserve">IL-2 Mutein</w:t>
            </w:r>
          </w:p>
        </w:tc>
        <w:tc>
          <w:tcPr/>
          <w:p>
            <w:pPr>
              <w:pStyle w:val="Compact"/>
              <w:jc w:val="left"/>
            </w:pPr>
            <w:r>
              <w:t xml:space="preserve">Skin Cancer</w:t>
            </w:r>
          </w:p>
        </w:tc>
        <w:tc>
          <w:tcPr/>
          <w:p>
            <w:pPr>
              <w:pStyle w:val="Compact"/>
              <w:jc w:val="left"/>
            </w:pPr>
            <w:r>
              <w:t xml:space="preserve">II</w:t>
            </w:r>
          </w:p>
        </w:tc>
        <w:tc>
          <w:tcPr/>
          <w:p>
            <w:pPr>
              <w:pStyle w:val="Compact"/>
              <w:jc w:val="left"/>
            </w:pPr>
            <w:r>
              <w:t xml:space="preserve">Alkermes</w:t>
            </w:r>
          </w:p>
        </w:tc>
      </w:tr>
      <w:tr>
        <w:tc>
          <w:tcPr/>
          <w:p>
            <w:pPr>
              <w:pStyle w:val="Compact"/>
              <w:jc w:val="left"/>
            </w:pPr>
            <w:r>
              <w:rPr>
                <w:b/>
                <w:bCs/>
              </w:rPr>
              <w:t xml:space="preserve">Bempegaldesleukin</w:t>
            </w:r>
          </w:p>
        </w:tc>
        <w:tc>
          <w:tcPr/>
          <w:p>
            <w:pPr>
              <w:pStyle w:val="Compact"/>
              <w:jc w:val="left"/>
            </w:pPr>
            <w:r>
              <w:t xml:space="preserve">PEGylated IL-2 Prodrug</w:t>
            </w:r>
          </w:p>
        </w:tc>
        <w:tc>
          <w:tcPr/>
          <w:p>
            <w:pPr>
              <w:pStyle w:val="Compact"/>
              <w:jc w:val="left"/>
            </w:pPr>
            <w:r>
              <w:t xml:space="preserve">Melanoma, RCC</w:t>
            </w:r>
          </w:p>
        </w:tc>
        <w:tc>
          <w:tcPr/>
          <w:p>
            <w:pPr>
              <w:pStyle w:val="Compact"/>
              <w:jc w:val="left"/>
            </w:pPr>
            <w:r>
              <w:rPr>
                <w:b/>
                <w:bCs/>
              </w:rPr>
              <w:t xml:space="preserve">Discontinued</w:t>
            </w:r>
          </w:p>
        </w:tc>
        <w:tc>
          <w:tcPr/>
          <w:p>
            <w:pPr>
              <w:pStyle w:val="Compact"/>
              <w:jc w:val="left"/>
            </w:pPr>
            <w:r>
              <w:t xml:space="preserve">Nektar/BMS</w:t>
            </w:r>
          </w:p>
        </w:tc>
      </w:tr>
      <w:tr>
        <w:tc>
          <w:tcPr/>
          <w:p>
            <w:pPr>
              <w:pStyle w:val="Compact"/>
              <w:jc w:val="left"/>
            </w:pPr>
            <w:r>
              <w:rPr>
                <w:b/>
                <w:bCs/>
              </w:rPr>
              <w:t xml:space="preserve">Darleukin (L19-IL2)</w:t>
            </w:r>
          </w:p>
        </w:tc>
        <w:tc>
          <w:tcPr/>
          <w:p>
            <w:pPr>
              <w:pStyle w:val="Compact"/>
              <w:jc w:val="left"/>
            </w:pPr>
            <w:r>
              <w:t xml:space="preserve">IL-2-Antibody Fusion</w:t>
            </w:r>
          </w:p>
        </w:tc>
        <w:tc>
          <w:tcPr/>
          <w:p>
            <w:pPr>
              <w:pStyle w:val="Compact"/>
              <w:jc w:val="left"/>
            </w:pPr>
            <w:r>
              <w:t xml:space="preserve">Skin Cancer</w:t>
            </w:r>
          </w:p>
        </w:tc>
        <w:tc>
          <w:tcPr/>
          <w:p>
            <w:pPr>
              <w:pStyle w:val="Compact"/>
              <w:jc w:val="left"/>
            </w:pPr>
            <w:r>
              <w:t xml:space="preserve">II</w:t>
            </w:r>
          </w:p>
        </w:tc>
        <w:tc>
          <w:tcPr/>
          <w:p>
            <w:pPr>
              <w:pStyle w:val="Compact"/>
              <w:jc w:val="left"/>
            </w:pPr>
            <w:r>
              <w:t xml:space="preserve">Philogen</w:t>
            </w:r>
          </w:p>
        </w:tc>
      </w:tr>
      <w:tr>
        <w:tc>
          <w:tcPr/>
          <w:p>
            <w:pPr>
              <w:pStyle w:val="Compact"/>
              <w:jc w:val="left"/>
            </w:pPr>
            <w:r>
              <w:rPr>
                <w:b/>
                <w:bCs/>
              </w:rPr>
              <w:t xml:space="preserve">Etakafusp Alfa (AB-248)</w:t>
            </w:r>
          </w:p>
        </w:tc>
        <w:tc>
          <w:tcPr/>
          <w:p>
            <w:pPr>
              <w:pStyle w:val="Compact"/>
              <w:jc w:val="left"/>
            </w:pPr>
            <w:r>
              <w:t xml:space="preserve">IL-2 Variant</w:t>
            </w:r>
          </w:p>
        </w:tc>
        <w:tc>
          <w:tcPr/>
          <w:p>
            <w:pPr>
              <w:pStyle w:val="Compact"/>
              <w:jc w:val="left"/>
            </w:pPr>
            <w:r>
              <w:t xml:space="preserve">Skin Cancer</w:t>
            </w:r>
          </w:p>
        </w:tc>
        <w:tc>
          <w:tcPr/>
          <w:p>
            <w:pPr>
              <w:pStyle w:val="Compact"/>
              <w:jc w:val="left"/>
            </w:pPr>
            <w:r>
              <w:t xml:space="preserve">I</w:t>
            </w:r>
          </w:p>
        </w:tc>
        <w:tc>
          <w:tcPr/>
          <w:p>
            <w:pPr>
              <w:pStyle w:val="Compact"/>
              <w:jc w:val="left"/>
            </w:pPr>
            <w:r>
              <w:t xml:space="preserve">Asher Bio</w:t>
            </w:r>
          </w:p>
        </w:tc>
      </w:tr>
      <w:tr>
        <w:tc>
          <w:tcPr/>
          <w:p>
            <w:pPr>
              <w:pStyle w:val="Compact"/>
              <w:jc w:val="left"/>
            </w:pPr>
            <w:r>
              <w:rPr>
                <w:b/>
                <w:bCs/>
              </w:rPr>
              <w:t xml:space="preserve">IOV-3001</w:t>
            </w:r>
          </w:p>
        </w:tc>
        <w:tc>
          <w:tcPr/>
          <w:p>
            <w:pPr>
              <w:pStyle w:val="Compact"/>
              <w:jc w:val="left"/>
            </w:pPr>
            <w:r>
              <w:t xml:space="preserve">IL-2 Analog</w:t>
            </w:r>
          </w:p>
        </w:tc>
        <w:tc>
          <w:tcPr/>
          <w:p>
            <w:pPr>
              <w:pStyle w:val="Compact"/>
              <w:jc w:val="left"/>
            </w:pPr>
            <w:r>
              <w:t xml:space="preserve">Skin Cancer</w:t>
            </w:r>
          </w:p>
        </w:tc>
        <w:tc>
          <w:tcPr/>
          <w:p>
            <w:pPr>
              <w:pStyle w:val="Compact"/>
              <w:jc w:val="left"/>
            </w:pPr>
            <w:r>
              <w:t xml:space="preserve">II</w:t>
            </w:r>
          </w:p>
        </w:tc>
        <w:tc>
          <w:tcPr/>
          <w:p>
            <w:pPr>
              <w:pStyle w:val="Compact"/>
              <w:jc w:val="left"/>
            </w:pPr>
            <w:r>
              <w:t xml:space="preserve">Iovance</w:t>
            </w:r>
          </w:p>
        </w:tc>
      </w:tr>
      <w:tr>
        <w:tc>
          <w:tcPr/>
          <w:p>
            <w:pPr>
              <w:pStyle w:val="Compact"/>
              <w:jc w:val="left"/>
            </w:pPr>
            <w:r>
              <w:rPr>
                <w:b/>
                <w:bCs/>
              </w:rPr>
              <w:t xml:space="preserve">XTX202</w:t>
            </w:r>
          </w:p>
        </w:tc>
        <w:tc>
          <w:tcPr/>
          <w:p>
            <w:pPr>
              <w:pStyle w:val="Compact"/>
              <w:jc w:val="left"/>
            </w:pPr>
            <w:r>
              <w:t xml:space="preserve">Masked IL-2</w:t>
            </w:r>
          </w:p>
        </w:tc>
        <w:tc>
          <w:tcPr/>
          <w:p>
            <w:pPr>
              <w:pStyle w:val="Compact"/>
              <w:jc w:val="left"/>
            </w:pPr>
            <w:r>
              <w:t xml:space="preserve">Solid Tumors</w:t>
            </w:r>
          </w:p>
        </w:tc>
        <w:tc>
          <w:tcPr/>
          <w:p>
            <w:pPr>
              <w:pStyle w:val="Compact"/>
              <w:jc w:val="left"/>
            </w:pPr>
            <w:r>
              <w:t xml:space="preserve">II</w:t>
            </w:r>
          </w:p>
        </w:tc>
        <w:tc>
          <w:tcPr/>
          <w:p>
            <w:pPr>
              <w:pStyle w:val="Compact"/>
              <w:jc w:val="left"/>
            </w:pPr>
            <w:r>
              <w:t xml:space="preserve">Xilio (seeking partner)</w:t>
            </w:r>
          </w:p>
        </w:tc>
      </w:tr>
    </w:tbl>
    <w:p>
      <w:pPr>
        <w:pStyle w:val="BodyText"/>
      </w:pPr>
      <w:r>
        <w:rPr>
          <w:rFonts w:ascii="Arial" w:hAnsi="Arial"/>
          <w:i/>
          <w:iCs/>
          <w:sz w:val="22"/>
        </w:rPr>
        <w:t xml:space="preserve">Table data sourced from</w:t>
      </w:r>
      <w:r>
        <w:rPr>
          <w:rFonts w:ascii="Arial" w:hAnsi="Arial"/>
          <w:i/>
          <w:iCs/>
          <w:sz w:val="22"/>
        </w:rPr>
        <w:t xml:space="preserve"> </w:t>
      </w:r>
      <w:hyperlink r:id="rId21">
        <w:r>
          <w:rPr>
            <w:rStyle w:val="Hyperlink"/>
            <w:i/>
            <w:iCs/>
          </w:rPr>
          <w:t xml:space="preserve">1</w:t>
        </w:r>
      </w:hyperlink>
      <w:r>
        <w:rPr>
          <w:rFonts w:ascii="Arial" w:hAnsi="Arial"/>
          <w:i/>
          <w:iCs/>
          <w:sz w:val="22"/>
        </w:rPr>
        <w:t xml:space="preserve">.</w:t>
      </w:r>
    </w:p>
    <w:bookmarkEnd w:id="25"/>
    <w:bookmarkStart w:id="32" w:name="interleukin-15-il-15-the-heir-apparent"/>
    <w:p>
      <w:pPr>
        <w:pStyle w:val="Heading4"/>
      </w:pPr>
      <w:r>
        <w:rPr>
          <w:rFonts w:ascii="Arial" w:hAnsi="Arial"/>
          <w:b/>
          <w:bCs/>
        </w:rPr>
        <w:t xml:space="preserve">2. Interleukin-15 (IL-15): The Heir Apparent?</w:t>
      </w:r>
    </w:p>
    <w:p>
      <w:pPr>
        <w:pStyle w:val="FirstParagraph"/>
      </w:pPr>
      <w:r>
        <w:rPr>
          <w:rFonts w:ascii="Arial" w:hAnsi="Arial"/>
          <w:sz w:val="22"/>
        </w:rPr>
        <w:t xml:space="preserve">IL-15 has generated immense excitement as a potentially safer and more effective alternative to IL-2. It shares the IL-2Rβγ signaling pathway but does not engage IL-2Rα, thereby avoiding significant Treg expansion and promoting the survival of memory CD8+ T cells and NK cells</w:t>
      </w:r>
      <w:r>
        <w:rPr>
          <w:rFonts w:ascii="Arial" w:hAnsi="Arial"/>
          <w:sz w:val="22"/>
        </w:rPr>
        <w:t xml:space="preserve"> </w:t>
      </w:r>
      <w:hyperlink r:id="rId20">
        <w:r>
          <w:rPr>
            <w:rStyle w:val="Hyperlink"/>
          </w:rPr>
          <w:t xml:space="preserve">3</w:t>
        </w:r>
      </w:hyperlink>
      <w:r>
        <w:rPr>
          <w:rFonts w:ascii="Arial" w:hAnsi="Arial"/>
          <w:sz w:val="22"/>
        </w:rPr>
        <w:t xml:space="preserve">.</w:t>
      </w:r>
    </w:p>
    <w:p>
      <w:pPr>
        <w:pStyle w:val="BodyText"/>
      </w:pPr>
      <w:r>
        <w:rPr>
          <w:rFonts w:ascii="Arial" w:hAnsi="Arial"/>
          <w:b/>
          <w:bCs/>
          <w:sz w:val="22"/>
        </w:rPr>
        <w:t xml:space="preserve">Mechanism &amp; Rationale:</w:t>
      </w:r>
    </w:p>
    <w:p>
      <w:pPr>
        <w:pStyle w:val="BodyText"/>
      </w:pPr>
      <w:r>
        <w:rPr>
          <w:rFonts w:ascii="Arial" w:hAnsi="Arial"/>
          <w:sz w:val="22"/>
        </w:rPr>
        <w:t xml:space="preserve">IL-15 is naturally</w:t>
      </w:r>
      <w:r>
        <w:rPr>
          <w:rFonts w:ascii="Arial" w:hAnsi="Arial"/>
          <w:sz w:val="22"/>
        </w:rPr>
        <w:t xml:space="preserve"> </w:t>
      </w:r>
      <w:r>
        <w:rPr>
          <w:rFonts w:ascii="Arial" w:hAnsi="Arial"/>
          <w:sz w:val="22"/>
        </w:rPr>
        <w:t xml:space="preserve">“trans-presented”</w:t>
      </w:r>
      <w:r>
        <w:rPr>
          <w:rFonts w:ascii="Arial" w:hAnsi="Arial"/>
          <w:sz w:val="22"/>
        </w:rPr>
        <w:t xml:space="preserve"> </w:t>
      </w:r>
      <w:r>
        <w:rPr>
          <w:rFonts w:ascii="Arial" w:hAnsi="Arial"/>
          <w:sz w:val="22"/>
        </w:rPr>
        <w:t xml:space="preserve">by cells expressing the IL-15 receptor alpha chain (IL-15Rα). Therapeutic strategies mimic this by creating stable IL-15/IL-15Rα complexes or fusions, often called</w:t>
      </w:r>
      <w:r>
        <w:rPr>
          <w:rFonts w:ascii="Arial" w:hAnsi="Arial"/>
          <w:sz w:val="22"/>
        </w:rPr>
        <w:t xml:space="preserve"> </w:t>
      </w:r>
      <w:r>
        <w:rPr>
          <w:rFonts w:ascii="Arial" w:hAnsi="Arial"/>
          <w:sz w:val="22"/>
        </w:rPr>
        <w:t xml:space="preserve">“superagonists,”</w:t>
      </w:r>
      <w:r>
        <w:rPr>
          <w:rFonts w:ascii="Arial" w:hAnsi="Arial"/>
          <w:sz w:val="22"/>
        </w:rPr>
        <w:t xml:space="preserve"> </w:t>
      </w:r>
      <w:r>
        <w:rPr>
          <w:rFonts w:ascii="Arial" w:hAnsi="Arial"/>
          <w:sz w:val="22"/>
        </w:rPr>
        <w:t xml:space="preserve">that deliver a potent and sustained signal.</w:t>
      </w:r>
    </w:p>
    <w:p>
      <w:pPr>
        <w:pStyle w:val="BodyText"/>
      </w:pPr>
      <w:r>
        <w:rPr>
          <w:rFonts w:ascii="Arial" w:hAnsi="Arial"/>
          <w:b/>
          <w:bCs/>
          <w:sz w:val="22"/>
        </w:rPr>
        <w:t xml:space="preserve">Key Development Formats &amp; Programs:</w:t>
      </w:r>
    </w:p>
    <w:p>
      <w:pPr>
        <w:numPr>
          <w:ilvl w:val="0"/>
          <w:numId w:val="1006"/>
        </w:numPr>
      </w:pPr>
      <w:r>
        <w:rPr>
          <w:rFonts w:ascii="Arial" w:hAnsi="Arial"/>
          <w:b/>
          <w:bCs/>
          <w:sz w:val="22"/>
        </w:rPr>
        <w:t xml:space="preserve">IL-15 Superagonists:</w:t>
      </w:r>
    </w:p>
    <w:p>
      <w:pPr>
        <w:pStyle w:val="Compact"/>
        <w:numPr>
          <w:ilvl w:val="1"/>
          <w:numId w:val="1007"/>
        </w:numPr>
      </w:pPr>
      <w:r>
        <w:rPr>
          <w:rFonts w:ascii="Arial" w:hAnsi="Arial"/>
          <w:b/>
          <w:bCs/>
          <w:sz w:val="22"/>
        </w:rPr>
        <w:t xml:space="preserve">Nogapendekin Alfa Inbakicept (N-803, Anktiva):</w:t>
      </w:r>
      <w:r>
        <w:rPr>
          <w:rFonts w:ascii="Arial" w:hAnsi="Arial"/>
          <w:sz w:val="22"/>
        </w:rPr>
        <w:t xml:space="preserve"> </w:t>
      </w:r>
      <w:r>
        <w:rPr>
          <w:rFonts w:ascii="Arial" w:hAnsi="Arial"/>
          <w:sz w:val="22"/>
        </w:rPr>
        <w:t xml:space="preserve">An IL-15/IL-15Rα-Fc fusion complex. It has shown impressive results in BCG-unresponsive non-muscle invasive bladder cancer (NMIBC), with a long median complete response duration of 26.6 months</w:t>
      </w:r>
      <w:r>
        <w:rPr>
          <w:rFonts w:ascii="Arial" w:hAnsi="Arial"/>
          <w:sz w:val="22"/>
        </w:rPr>
        <w:t xml:space="preserve"> </w:t>
      </w:r>
      <w:hyperlink r:id="rId26">
        <w:r>
          <w:rPr>
            <w:rStyle w:val="Hyperlink"/>
          </w:rPr>
          <w:t xml:space="preserve">11</w:t>
        </w:r>
      </w:hyperlink>
      <w:r>
        <w:rPr>
          <w:rFonts w:ascii="Arial" w:hAnsi="Arial"/>
          <w:sz w:val="22"/>
        </w:rPr>
        <w:t xml:space="preserve">. A BLA is under review by the FDA, though its global filing strategy has narrowed to the US for now</w:t>
      </w:r>
      <w:r>
        <w:rPr>
          <w:rFonts w:ascii="Arial" w:hAnsi="Arial"/>
          <w:sz w:val="22"/>
        </w:rPr>
        <w:t xml:space="preserve"> </w:t>
      </w:r>
      <w:hyperlink r:id="rId9">
        <w:r>
          <w:rPr>
            <w:rStyle w:val="Hyperlink"/>
          </w:rPr>
          <w:t xml:space="preserve">4</w:t>
        </w:r>
      </w:hyperlink>
      <w:hyperlink r:id="rId26">
        <w:r>
          <w:rPr>
            <w:rStyle w:val="Hyperlink"/>
          </w:rPr>
          <w:t xml:space="preserve">11</w:t>
        </w:r>
      </w:hyperlink>
      <w:r>
        <w:rPr>
          <w:rFonts w:ascii="Arial" w:hAnsi="Arial"/>
          <w:sz w:val="22"/>
        </w:rPr>
        <w:t xml:space="preserve">. It is also in trials for skin, liver, and neuroendocrine cancers</w:t>
      </w:r>
      <w:r>
        <w:rPr>
          <w:rFonts w:ascii="Arial" w:hAnsi="Arial"/>
          <w:sz w:val="22"/>
        </w:rPr>
        <w:t xml:space="preserve"> </w:t>
      </w:r>
      <w:hyperlink r:id="rId21">
        <w:r>
          <w:rPr>
            <w:rStyle w:val="Hyperlink"/>
          </w:rPr>
          <w:t xml:space="preserve">1</w:t>
        </w:r>
      </w:hyperlink>
      <w:r>
        <w:rPr>
          <w:rFonts w:ascii="Arial" w:hAnsi="Arial"/>
          <w:sz w:val="22"/>
        </w:rPr>
        <w:t xml:space="preserve">.</w:t>
      </w:r>
    </w:p>
    <w:p>
      <w:pPr>
        <w:pStyle w:val="Compact"/>
        <w:numPr>
          <w:ilvl w:val="1"/>
          <w:numId w:val="1007"/>
        </w:numPr>
      </w:pPr>
      <w:r>
        <w:rPr>
          <w:rFonts w:ascii="Arial" w:hAnsi="Arial"/>
          <w:b/>
          <w:bCs/>
          <w:sz w:val="22"/>
        </w:rPr>
        <w:t xml:space="preserve">SOT101:</w:t>
      </w:r>
      <w:r>
        <w:rPr>
          <w:rFonts w:ascii="Arial" w:hAnsi="Arial"/>
          <w:sz w:val="22"/>
        </w:rPr>
        <w:t xml:space="preserve"> </w:t>
      </w:r>
      <w:r>
        <w:rPr>
          <w:rFonts w:ascii="Arial" w:hAnsi="Arial"/>
          <w:sz w:val="22"/>
        </w:rPr>
        <w:t xml:space="preserve">An IL-15/IL-15Rα fusion from Czech company SOTIO. Phase 1/2 data showed a 38% clinical benefit rate (CBR) as monotherapy and 63% CBR with pembrolizumab in solid tumors, with manageable toxicities</w:t>
      </w:r>
      <w:r>
        <w:rPr>
          <w:rFonts w:ascii="Arial" w:hAnsi="Arial"/>
          <w:sz w:val="22"/>
        </w:rPr>
        <w:t xml:space="preserve"> </w:t>
      </w:r>
      <w:hyperlink r:id="rId26">
        <w:r>
          <w:rPr>
            <w:rStyle w:val="Hyperlink"/>
          </w:rPr>
          <w:t xml:space="preserve">11</w:t>
        </w:r>
      </w:hyperlink>
      <w:r>
        <w:rPr>
          <w:rFonts w:ascii="Arial" w:hAnsi="Arial"/>
          <w:sz w:val="22"/>
        </w:rPr>
        <w:t xml:space="preserve">.</w:t>
      </w:r>
    </w:p>
    <w:p>
      <w:pPr>
        <w:numPr>
          <w:ilvl w:val="0"/>
          <w:numId w:val="1006"/>
        </w:numPr>
      </w:pPr>
      <w:r>
        <w:rPr>
          <w:rFonts w:ascii="Arial" w:hAnsi="Arial"/>
          <w:b/>
          <w:bCs/>
          <w:sz w:val="22"/>
        </w:rPr>
        <w:t xml:space="preserve">Other IL-15 Formats:</w:t>
      </w:r>
    </w:p>
    <w:p>
      <w:pPr>
        <w:pStyle w:val="Compact"/>
        <w:numPr>
          <w:ilvl w:val="1"/>
          <w:numId w:val="1008"/>
        </w:numPr>
      </w:pPr>
      <w:r>
        <w:rPr>
          <w:rFonts w:ascii="Arial" w:hAnsi="Arial"/>
          <w:b/>
          <w:bCs/>
          <w:sz w:val="22"/>
        </w:rPr>
        <w:t xml:space="preserve">NKTR-255:</w:t>
      </w:r>
      <w:r>
        <w:rPr>
          <w:rFonts w:ascii="Arial" w:hAnsi="Arial"/>
          <w:sz w:val="22"/>
        </w:rPr>
        <w:t xml:space="preserve"> </w:t>
      </w:r>
      <w:r>
        <w:rPr>
          <w:rFonts w:ascii="Arial" w:hAnsi="Arial"/>
          <w:sz w:val="22"/>
        </w:rPr>
        <w:t xml:space="preserve">A polymer-conjugated IL-15 receptor agonist in Phase 2/3 trials for bladder cancer and diffuse large B-cell lymphoma (DLBCL)</w:t>
      </w:r>
      <w:r>
        <w:rPr>
          <w:rFonts w:ascii="Arial" w:hAnsi="Arial"/>
          <w:sz w:val="22"/>
        </w:rPr>
        <w:t xml:space="preserve"> </w:t>
      </w:r>
      <w:hyperlink r:id="rId21">
        <w:r>
          <w:rPr>
            <w:rStyle w:val="Hyperlink"/>
          </w:rPr>
          <w:t xml:space="preserve">1</w:t>
        </w:r>
      </w:hyperlink>
      <w:r>
        <w:rPr>
          <w:rFonts w:ascii="Arial" w:hAnsi="Arial"/>
          <w:sz w:val="22"/>
        </w:rPr>
        <w:t xml:space="preserve">.</w:t>
      </w:r>
    </w:p>
    <w:p>
      <w:pPr>
        <w:pStyle w:val="Compact"/>
        <w:numPr>
          <w:ilvl w:val="1"/>
          <w:numId w:val="1008"/>
        </w:numPr>
      </w:pPr>
      <w:r>
        <w:rPr>
          <w:rFonts w:ascii="Arial" w:hAnsi="Arial"/>
          <w:b/>
          <w:bCs/>
          <w:sz w:val="22"/>
        </w:rPr>
        <w:t xml:space="preserve">Efbalropendekin Alfa:</w:t>
      </w:r>
      <w:r>
        <w:rPr>
          <w:rFonts w:ascii="Arial" w:hAnsi="Arial"/>
          <w:sz w:val="22"/>
        </w:rPr>
        <w:t xml:space="preserve"> </w:t>
      </w:r>
      <w:r>
        <w:rPr>
          <w:rFonts w:ascii="Arial" w:hAnsi="Arial"/>
          <w:sz w:val="22"/>
        </w:rPr>
        <w:t xml:space="preserve">An IL-15/IL-15Rα-Fc fusion that Roche discontinued from its Phase 1 pipeline in January 2025, signaling ongoing challenges even in this promising class</w:t>
      </w:r>
      <w:r>
        <w:rPr>
          <w:rFonts w:ascii="Arial" w:hAnsi="Arial"/>
          <w:sz w:val="22"/>
        </w:rPr>
        <w:t xml:space="preserve"> </w:t>
      </w:r>
      <w:hyperlink r:id="rId27">
        <w:r>
          <w:rPr>
            <w:rStyle w:val="Hyperlink"/>
          </w:rPr>
          <w:t xml:space="preserve">20</w:t>
        </w:r>
      </w:hyperlink>
      <w:r>
        <w:rPr>
          <w:rFonts w:ascii="Arial" w:hAnsi="Arial"/>
          <w:sz w:val="22"/>
        </w:rPr>
        <w:t xml:space="preserve">.</w:t>
      </w:r>
    </w:p>
    <w:p>
      <w:pPr>
        <w:numPr>
          <w:ilvl w:val="0"/>
          <w:numId w:val="1006"/>
        </w:numPr>
      </w:pPr>
      <w:r>
        <w:rPr>
          <w:rFonts w:ascii="Arial" w:hAnsi="Arial"/>
          <w:b/>
          <w:bCs/>
          <w:sz w:val="22"/>
        </w:rPr>
        <w:t xml:space="preserve">Cell Therapy Combinations:</w:t>
      </w:r>
      <w:r>
        <w:rPr>
          <w:rFonts w:ascii="Arial" w:hAnsi="Arial"/>
          <w:sz w:val="22"/>
        </w:rPr>
        <w:t xml:space="preserve"> </w:t>
      </w:r>
      <w:r>
        <w:rPr>
          <w:rFonts w:ascii="Arial" w:hAnsi="Arial"/>
          <w:sz w:val="22"/>
        </w:rPr>
        <w:t xml:space="preserve">IL-15 is being explored as a way to boost the persistence and function of CAR-T and engineered TIL therapies. OBX-115, a TIL therapy engineered with membrane-bound IL-15, showed a 36% ORR in ICI-resistant melanoma with only low-grade CRS</w:t>
      </w:r>
      <w:r>
        <w:rPr>
          <w:rFonts w:ascii="Arial" w:hAnsi="Arial"/>
          <w:sz w:val="22"/>
        </w:rPr>
        <w:t xml:space="preserve"> </w:t>
      </w:r>
      <w:hyperlink r:id="rId28">
        <w:r>
          <w:rPr>
            <w:rStyle w:val="Hyperlink"/>
          </w:rPr>
          <w:t xml:space="preserve">12</w:t>
        </w:r>
      </w:hyperlink>
      <w:r>
        <w:rPr>
          <w:rFonts w:ascii="Arial" w:hAnsi="Arial"/>
          <w:sz w:val="22"/>
        </w:rPr>
        <w:t xml:space="preserve">.</w:t>
      </w:r>
    </w:p>
    <w:p>
      <w:pPr>
        <w:numPr>
          <w:ilvl w:val="0"/>
          <w:numId w:val="1006"/>
        </w:numPr>
      </w:pPr>
      <w:r>
        <w:rPr>
          <w:rFonts w:ascii="Arial" w:hAnsi="Arial"/>
          <w:b/>
          <w:bCs/>
          <w:sz w:val="22"/>
        </w:rPr>
        <w:t xml:space="preserve">Patented Innovations:</w:t>
      </w:r>
      <w:r>
        <w:rPr>
          <w:rFonts w:ascii="Arial" w:hAnsi="Arial"/>
          <w:sz w:val="22"/>
        </w:rPr>
        <w:t xml:space="preserve"> </w:t>
      </w:r>
      <w:r>
        <w:rPr>
          <w:rFonts w:ascii="Arial" w:hAnsi="Arial"/>
          <w:sz w:val="22"/>
        </w:rPr>
        <w:t xml:space="preserve">Patents focus on creating extended half-life fusions</w:t>
      </w:r>
      <w:r>
        <w:rPr>
          <w:rFonts w:ascii="Arial" w:hAnsi="Arial"/>
          <w:sz w:val="22"/>
        </w:rPr>
        <w:t xml:space="preserve"> </w:t>
      </w:r>
      <w:hyperlink r:id="rId29">
        <w:r>
          <w:rPr>
            <w:rStyle w:val="Hyperlink"/>
          </w:rPr>
          <w:t xml:space="preserve">26</w:t>
        </w:r>
      </w:hyperlink>
      <w:r>
        <w:rPr>
          <w:rFonts w:ascii="Arial" w:hAnsi="Arial"/>
          <w:sz w:val="22"/>
        </w:rPr>
        <w:t xml:space="preserve"> </w:t>
      </w:r>
      <w:r>
        <w:rPr>
          <w:rFonts w:ascii="Arial" w:hAnsi="Arial"/>
          <w:sz w:val="22"/>
        </w:rPr>
        <w:t xml:space="preserve">and super-agonist immunocytokines with tuned effector functions</w:t>
      </w:r>
      <w:r>
        <w:rPr>
          <w:rFonts w:ascii="Arial" w:hAnsi="Arial"/>
          <w:sz w:val="22"/>
        </w:rPr>
        <w:t xml:space="preserve"> </w:t>
      </w:r>
      <w:hyperlink r:id="rId30">
        <w:r>
          <w:rPr>
            <w:rStyle w:val="Hyperlink"/>
          </w:rPr>
          <w:t xml:space="preserve">27</w:t>
        </w:r>
      </w:hyperlink>
      <w:hyperlink r:id="rId31">
        <w:r>
          <w:rPr>
            <w:rStyle w:val="Hyperlink"/>
          </w:rPr>
          <w:t xml:space="preserve">28</w:t>
        </w:r>
      </w:hyperlink>
      <w:r>
        <w:rPr>
          <w:rFonts w:ascii="Arial" w:hAnsi="Arial"/>
          <w:sz w:val="22"/>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Drug Name</w:t>
            </w:r>
          </w:p>
        </w:tc>
        <w:tc>
          <w:tcPr/>
          <w:p>
            <w:pPr>
              <w:pStyle w:val="Compact"/>
              <w:jc w:val="left"/>
            </w:pPr>
            <w:r>
              <w:t xml:space="preserve">Format</w:t>
            </w:r>
          </w:p>
        </w:tc>
        <w:tc>
          <w:tcPr/>
          <w:p>
            <w:pPr>
              <w:pStyle w:val="Compact"/>
              <w:jc w:val="left"/>
            </w:pPr>
            <w:r>
              <w:t xml:space="preserve">Lead Indication</w:t>
            </w:r>
          </w:p>
        </w:tc>
        <w:tc>
          <w:tcPr/>
          <w:p>
            <w:pPr>
              <w:pStyle w:val="Compact"/>
              <w:jc w:val="left"/>
            </w:pPr>
            <w:r>
              <w:t xml:space="preserve">Phase</w:t>
            </w:r>
          </w:p>
        </w:tc>
        <w:tc>
          <w:tcPr/>
          <w:p>
            <w:pPr>
              <w:pStyle w:val="Compact"/>
              <w:jc w:val="left"/>
            </w:pPr>
            <w:r>
              <w:t xml:space="preserve">Company</w:t>
            </w:r>
          </w:p>
        </w:tc>
      </w:tr>
      <w:tr>
        <w:tc>
          <w:tcPr/>
          <w:p>
            <w:pPr>
              <w:pStyle w:val="Compact"/>
              <w:jc w:val="left"/>
            </w:pPr>
            <w:r>
              <w:rPr>
                <w:b/>
                <w:bCs/>
              </w:rPr>
              <w:t xml:space="preserve">Nogapendekin Alfa Inbakicept (Anktiva)</w:t>
            </w:r>
          </w:p>
        </w:tc>
        <w:tc>
          <w:tcPr/>
          <w:p>
            <w:pPr>
              <w:pStyle w:val="Compact"/>
              <w:jc w:val="left"/>
            </w:pPr>
            <w:r>
              <w:t xml:space="preserve">IL-15 Superagonist</w:t>
            </w:r>
          </w:p>
        </w:tc>
        <w:tc>
          <w:tcPr/>
          <w:p>
            <w:pPr>
              <w:pStyle w:val="Compact"/>
              <w:jc w:val="left"/>
            </w:pPr>
            <w:r>
              <w:t xml:space="preserve">Bladder Cancer</w:t>
            </w:r>
          </w:p>
        </w:tc>
        <w:tc>
          <w:tcPr/>
          <w:p>
            <w:pPr>
              <w:pStyle w:val="Compact"/>
              <w:jc w:val="left"/>
            </w:pPr>
            <w:r>
              <w:t xml:space="preserve">BLA/NDA</w:t>
            </w:r>
          </w:p>
        </w:tc>
        <w:tc>
          <w:tcPr/>
          <w:p>
            <w:pPr>
              <w:pStyle w:val="Compact"/>
              <w:jc w:val="left"/>
            </w:pPr>
            <w:r>
              <w:t xml:space="preserve">ImmunityBio</w:t>
            </w:r>
          </w:p>
        </w:tc>
      </w:tr>
      <w:tr>
        <w:tc>
          <w:tcPr/>
          <w:p>
            <w:pPr>
              <w:pStyle w:val="Compact"/>
              <w:jc w:val="left"/>
            </w:pPr>
            <w:r>
              <w:rPr>
                <w:b/>
                <w:bCs/>
              </w:rPr>
              <w:t xml:space="preserve">NKTR-255</w:t>
            </w:r>
          </w:p>
        </w:tc>
        <w:tc>
          <w:tcPr/>
          <w:p>
            <w:pPr>
              <w:pStyle w:val="Compact"/>
              <w:jc w:val="left"/>
            </w:pPr>
            <w:r>
              <w:t xml:space="preserve">IL-15 Receptor Agonist</w:t>
            </w:r>
          </w:p>
        </w:tc>
        <w:tc>
          <w:tcPr/>
          <w:p>
            <w:pPr>
              <w:pStyle w:val="Compact"/>
              <w:jc w:val="left"/>
            </w:pPr>
            <w:r>
              <w:t xml:space="preserve">Bladder Cancer, DLBCL</w:t>
            </w:r>
          </w:p>
        </w:tc>
        <w:tc>
          <w:tcPr/>
          <w:p>
            <w:pPr>
              <w:pStyle w:val="Compact"/>
              <w:jc w:val="left"/>
            </w:pPr>
            <w:r>
              <w:t xml:space="preserve">II-III</w:t>
            </w:r>
          </w:p>
        </w:tc>
        <w:tc>
          <w:tcPr/>
          <w:p>
            <w:pPr>
              <w:pStyle w:val="Compact"/>
              <w:jc w:val="left"/>
            </w:pPr>
            <w:r>
              <w:t xml:space="preserve">Nektar</w:t>
            </w:r>
          </w:p>
        </w:tc>
      </w:tr>
      <w:tr>
        <w:tc>
          <w:tcPr/>
          <w:p>
            <w:pPr>
              <w:pStyle w:val="Compact"/>
              <w:jc w:val="left"/>
            </w:pPr>
            <w:r>
              <w:rPr>
                <w:b/>
                <w:bCs/>
              </w:rPr>
              <w:t xml:space="preserve">SOT101</w:t>
            </w:r>
          </w:p>
        </w:tc>
        <w:tc>
          <w:tcPr/>
          <w:p>
            <w:pPr>
              <w:pStyle w:val="Compact"/>
              <w:jc w:val="left"/>
            </w:pPr>
            <w:r>
              <w:t xml:space="preserve">IL-15/IL-15Rα Fusion</w:t>
            </w:r>
          </w:p>
        </w:tc>
        <w:tc>
          <w:tcPr/>
          <w:p>
            <w:pPr>
              <w:pStyle w:val="Compact"/>
              <w:jc w:val="left"/>
            </w:pPr>
            <w:r>
              <w:t xml:space="preserve">Solid Tumors</w:t>
            </w:r>
          </w:p>
        </w:tc>
        <w:tc>
          <w:tcPr/>
          <w:p>
            <w:pPr>
              <w:pStyle w:val="Compact"/>
              <w:jc w:val="left"/>
            </w:pPr>
            <w:r>
              <w:t xml:space="preserve">I/II</w:t>
            </w:r>
          </w:p>
        </w:tc>
        <w:tc>
          <w:tcPr/>
          <w:p>
            <w:pPr>
              <w:pStyle w:val="Compact"/>
              <w:jc w:val="left"/>
            </w:pPr>
            <w:r>
              <w:t xml:space="preserve">SOTIO</w:t>
            </w:r>
          </w:p>
        </w:tc>
      </w:tr>
      <w:tr>
        <w:tc>
          <w:tcPr/>
          <w:p>
            <w:pPr>
              <w:pStyle w:val="Compact"/>
              <w:jc w:val="left"/>
            </w:pPr>
            <w:r>
              <w:rPr>
                <w:b/>
                <w:bCs/>
              </w:rPr>
              <w:t xml:space="preserve">Efbalropendekin Alfa</w:t>
            </w:r>
          </w:p>
        </w:tc>
        <w:tc>
          <w:tcPr/>
          <w:p>
            <w:pPr>
              <w:pStyle w:val="Compact"/>
              <w:jc w:val="left"/>
            </w:pPr>
            <w:r>
              <w:t xml:space="preserve">IL-15/IL-15Rα-Fc Fusion</w:t>
            </w:r>
          </w:p>
        </w:tc>
        <w:tc>
          <w:tcPr/>
          <w:p>
            <w:pPr>
              <w:pStyle w:val="Compact"/>
              <w:jc w:val="left"/>
            </w:pPr>
            <w:r>
              <w:t xml:space="preserve">Solid Tumors</w:t>
            </w:r>
          </w:p>
        </w:tc>
        <w:tc>
          <w:tcPr/>
          <w:p>
            <w:pPr>
              <w:pStyle w:val="Compact"/>
              <w:jc w:val="left"/>
            </w:pPr>
            <w:r>
              <w:rPr>
                <w:b/>
                <w:bCs/>
              </w:rPr>
              <w:t xml:space="preserve">Discontinued</w:t>
            </w:r>
          </w:p>
        </w:tc>
        <w:tc>
          <w:tcPr/>
          <w:p>
            <w:pPr>
              <w:pStyle w:val="Compact"/>
              <w:jc w:val="left"/>
            </w:pPr>
            <w:r>
              <w:t xml:space="preserve">Roche/Xencor</w:t>
            </w:r>
          </w:p>
        </w:tc>
      </w:tr>
      <w:tr>
        <w:tc>
          <w:tcPr/>
          <w:p>
            <w:pPr>
              <w:pStyle w:val="Compact"/>
              <w:jc w:val="left"/>
            </w:pPr>
            <w:r>
              <w:rPr>
                <w:b/>
                <w:bCs/>
              </w:rPr>
              <w:t xml:space="preserve">SHR-1501</w:t>
            </w:r>
          </w:p>
        </w:tc>
        <w:tc>
          <w:tcPr/>
          <w:p>
            <w:pPr>
              <w:pStyle w:val="Compact"/>
              <w:jc w:val="left"/>
            </w:pPr>
            <w:r>
              <w:t xml:space="preserve">IL-15</w:t>
            </w:r>
          </w:p>
        </w:tc>
        <w:tc>
          <w:tcPr/>
          <w:p>
            <w:pPr>
              <w:pStyle w:val="Compact"/>
              <w:jc w:val="left"/>
            </w:pPr>
            <w:r>
              <w:t xml:space="preserve">Bladder Cancer</w:t>
            </w:r>
          </w:p>
        </w:tc>
        <w:tc>
          <w:tcPr/>
          <w:p>
            <w:pPr>
              <w:pStyle w:val="Compact"/>
              <w:jc w:val="left"/>
            </w:pPr>
            <w:r>
              <w:t xml:space="preserve">II</w:t>
            </w:r>
          </w:p>
        </w:tc>
        <w:tc>
          <w:tcPr/>
          <w:p>
            <w:pPr>
              <w:pStyle w:val="Compact"/>
              <w:jc w:val="left"/>
            </w:pPr>
            <w:r>
              <w:t xml:space="preserve">Jiangsu Hengrui</w:t>
            </w:r>
          </w:p>
        </w:tc>
      </w:tr>
    </w:tbl>
    <w:p>
      <w:pPr>
        <w:pStyle w:val="BodyText"/>
      </w:pPr>
      <w:r>
        <w:rPr>
          <w:rFonts w:ascii="Arial" w:hAnsi="Arial"/>
          <w:i/>
          <w:iCs/>
          <w:sz w:val="22"/>
        </w:rPr>
        <w:t xml:space="preserve">Table data sourced from</w:t>
      </w:r>
      <w:r>
        <w:rPr>
          <w:rFonts w:ascii="Arial" w:hAnsi="Arial"/>
          <w:i/>
          <w:iCs/>
          <w:sz w:val="22"/>
        </w:rPr>
        <w:t xml:space="preserve"> </w:t>
      </w:r>
      <w:hyperlink r:id="rId21">
        <w:r>
          <w:rPr>
            <w:rStyle w:val="Hyperlink"/>
            <w:i/>
            <w:iCs/>
          </w:rPr>
          <w:t xml:space="preserve">1</w:t>
        </w:r>
      </w:hyperlink>
      <w:hyperlink r:id="rId26">
        <w:r>
          <w:rPr>
            <w:rStyle w:val="Hyperlink"/>
            <w:i/>
            <w:iCs/>
          </w:rPr>
          <w:t xml:space="preserve">11</w:t>
        </w:r>
      </w:hyperlink>
      <w:hyperlink r:id="rId27">
        <w:r>
          <w:rPr>
            <w:rStyle w:val="Hyperlink"/>
            <w:i/>
            <w:iCs/>
          </w:rPr>
          <w:t xml:space="preserve">20</w:t>
        </w:r>
      </w:hyperlink>
      <w:r>
        <w:rPr>
          <w:rFonts w:ascii="Arial" w:hAnsi="Arial"/>
          <w:i/>
          <w:iCs/>
          <w:sz w:val="22"/>
        </w:rPr>
        <w:t xml:space="preserve">.</w:t>
      </w:r>
    </w:p>
    <w:bookmarkEnd w:id="32"/>
    <w:bookmarkStart w:id="35" w:name="Xbd8fa98017ef66e94dcc8b0b4c974cd55defdd6"/>
    <w:p>
      <w:pPr>
        <w:pStyle w:val="Heading4"/>
      </w:pPr>
      <w:r>
        <w:rPr>
          <w:rFonts w:ascii="Arial" w:hAnsi="Arial"/>
          <w:b/>
          <w:bCs/>
        </w:rPr>
        <w:t xml:space="preserve">3. Interleukin-12 (IL-12): The Power of Localization</w:t>
      </w:r>
    </w:p>
    <w:p>
      <w:pPr>
        <w:pStyle w:val="FirstParagraph"/>
      </w:pPr>
      <w:r>
        <w:rPr>
          <w:rFonts w:ascii="Arial" w:hAnsi="Arial"/>
          <w:sz w:val="22"/>
        </w:rPr>
        <w:t xml:space="preserve">IL-12 is an extremely potent pro-inflammatory cytokine that drives Th1 differentiation and robust IFN-γ production, leading to broad anti-tumor immunity. However, its development has been plagued by severe, sometimes fatal, systemic toxicities</w:t>
      </w:r>
      <w:r>
        <w:rPr>
          <w:rFonts w:ascii="Arial" w:hAnsi="Arial"/>
          <w:sz w:val="22"/>
        </w:rPr>
        <w:t xml:space="preserve"> </w:t>
      </w:r>
      <w:hyperlink r:id="rId20">
        <w:r>
          <w:rPr>
            <w:rStyle w:val="Hyperlink"/>
          </w:rPr>
          <w:t xml:space="preserve">3</w:t>
        </w:r>
      </w:hyperlink>
      <w:r>
        <w:rPr>
          <w:rFonts w:ascii="Arial" w:hAnsi="Arial"/>
          <w:sz w:val="22"/>
        </w:rPr>
        <w:t xml:space="preserve">. The modern strategy is to strictly confine its activity to the tumor.</w:t>
      </w:r>
    </w:p>
    <w:p>
      <w:pPr>
        <w:pStyle w:val="BodyText"/>
      </w:pPr>
      <w:r>
        <w:rPr>
          <w:rFonts w:ascii="Arial" w:hAnsi="Arial"/>
          <w:b/>
          <w:bCs/>
          <w:sz w:val="22"/>
        </w:rPr>
        <w:t xml:space="preserve">Mechanism &amp; Rationale:</w:t>
      </w:r>
    </w:p>
    <w:p>
      <w:pPr>
        <w:pStyle w:val="BodyText"/>
      </w:pPr>
      <w:r>
        <w:rPr>
          <w:rFonts w:ascii="Arial" w:hAnsi="Arial"/>
          <w:sz w:val="22"/>
        </w:rPr>
        <w:t xml:space="preserve">By delivering IL-12 directly to the TME, developers aim to reprogram suppressive myeloid cells, enhance cytotoxic T-cell recruitment, and normalize tumor vasculature, all while avoiding systemic inflammation.</w:t>
      </w:r>
    </w:p>
    <w:p>
      <w:pPr>
        <w:pStyle w:val="BodyText"/>
      </w:pPr>
      <w:r>
        <w:rPr>
          <w:rFonts w:ascii="Arial" w:hAnsi="Arial"/>
          <w:b/>
          <w:bCs/>
          <w:sz w:val="22"/>
        </w:rPr>
        <w:t xml:space="preserve">Key Development Formats &amp; Programs:</w:t>
      </w:r>
    </w:p>
    <w:p>
      <w:pPr>
        <w:numPr>
          <w:ilvl w:val="0"/>
          <w:numId w:val="1009"/>
        </w:numPr>
      </w:pPr>
      <w:r>
        <w:rPr>
          <w:rFonts w:ascii="Arial" w:hAnsi="Arial"/>
          <w:b/>
          <w:bCs/>
          <w:sz w:val="22"/>
        </w:rPr>
        <w:t xml:space="preserve">Tumor-Activated IL-12:</w:t>
      </w:r>
    </w:p>
    <w:p>
      <w:pPr>
        <w:pStyle w:val="Compact"/>
        <w:numPr>
          <w:ilvl w:val="1"/>
          <w:numId w:val="1010"/>
        </w:numPr>
      </w:pPr>
      <w:r>
        <w:rPr>
          <w:rFonts w:ascii="Arial" w:hAnsi="Arial"/>
          <w:b/>
          <w:bCs/>
          <w:sz w:val="22"/>
        </w:rPr>
        <w:t xml:space="preserve">XTX301:</w:t>
      </w:r>
      <w:r>
        <w:rPr>
          <w:rFonts w:ascii="Arial" w:hAnsi="Arial"/>
          <w:sz w:val="22"/>
        </w:rPr>
        <w:t xml:space="preserve"> </w:t>
      </w:r>
      <w:r>
        <w:rPr>
          <w:rFonts w:ascii="Arial" w:hAnsi="Arial"/>
          <w:sz w:val="22"/>
        </w:rPr>
        <w:t xml:space="preserve">A</w:t>
      </w:r>
      <w:r>
        <w:rPr>
          <w:rFonts w:ascii="Arial" w:hAnsi="Arial"/>
          <w:sz w:val="22"/>
        </w:rPr>
        <w:t xml:space="preserve"> </w:t>
      </w:r>
      <w:r>
        <w:rPr>
          <w:rFonts w:ascii="Arial" w:hAnsi="Arial"/>
          <w:sz w:val="22"/>
        </w:rPr>
        <w:t xml:space="preserve">“masked”</w:t>
      </w:r>
      <w:r>
        <w:rPr>
          <w:rFonts w:ascii="Arial" w:hAnsi="Arial"/>
          <w:sz w:val="22"/>
        </w:rPr>
        <w:t xml:space="preserve"> </w:t>
      </w:r>
      <w:r>
        <w:rPr>
          <w:rFonts w:ascii="Arial" w:hAnsi="Arial"/>
          <w:sz w:val="22"/>
        </w:rPr>
        <w:t xml:space="preserve">IL-12 pro-drug from Xilio Therapeutics that is activated by tumor-associated proteases. In a landmark deal in March 2024, Gilead Sciences licensed the program for $30 million upfront and up to $604 million in milestones, validating this approach. Phase 1 dose-escalation is ongoing, with initial data expected in late 2024</w:t>
      </w:r>
      <w:r>
        <w:rPr>
          <w:rFonts w:ascii="Arial" w:hAnsi="Arial"/>
          <w:sz w:val="22"/>
        </w:rPr>
        <w:t xml:space="preserve"> </w:t>
      </w:r>
      <w:hyperlink r:id="rId22">
        <w:r>
          <w:rPr>
            <w:rStyle w:val="Hyperlink"/>
          </w:rPr>
          <w:t xml:space="preserve">18</w:t>
        </w:r>
      </w:hyperlink>
      <w:r>
        <w:rPr>
          <w:rFonts w:ascii="Arial" w:hAnsi="Arial"/>
          <w:sz w:val="22"/>
        </w:rPr>
        <w:t xml:space="preserve">.</w:t>
      </w:r>
    </w:p>
    <w:p>
      <w:pPr>
        <w:numPr>
          <w:ilvl w:val="0"/>
          <w:numId w:val="1009"/>
        </w:numPr>
      </w:pPr>
      <w:r>
        <w:rPr>
          <w:rFonts w:ascii="Arial" w:hAnsi="Arial"/>
          <w:b/>
          <w:bCs/>
          <w:sz w:val="22"/>
        </w:rPr>
        <w:t xml:space="preserve">Tumor-Targeted Fusions:</w:t>
      </w:r>
    </w:p>
    <w:p>
      <w:pPr>
        <w:pStyle w:val="Compact"/>
        <w:numPr>
          <w:ilvl w:val="1"/>
          <w:numId w:val="1011"/>
        </w:numPr>
      </w:pPr>
      <w:r>
        <w:rPr>
          <w:rFonts w:ascii="Arial" w:hAnsi="Arial"/>
          <w:b/>
          <w:bCs/>
          <w:sz w:val="22"/>
        </w:rPr>
        <w:t xml:space="preserve">NHS-IL12:</w:t>
      </w:r>
      <w:r>
        <w:rPr>
          <w:rFonts w:ascii="Arial" w:hAnsi="Arial"/>
          <w:sz w:val="22"/>
        </w:rPr>
        <w:t xml:space="preserve"> </w:t>
      </w:r>
      <w:r>
        <w:rPr>
          <w:rFonts w:ascii="Arial" w:hAnsi="Arial"/>
          <w:sz w:val="22"/>
        </w:rPr>
        <w:t xml:space="preserve">An immunocytokine that targets necrotic regions of tumors. Early trials showed it could induce intratumoral IFN-γ with reduced systemic toxicity</w:t>
      </w:r>
      <w:r>
        <w:rPr>
          <w:rFonts w:ascii="Arial" w:hAnsi="Arial"/>
          <w:sz w:val="22"/>
        </w:rPr>
        <w:t xml:space="preserve"> </w:t>
      </w:r>
      <w:hyperlink r:id="rId20">
        <w:r>
          <w:rPr>
            <w:rStyle w:val="Hyperlink"/>
          </w:rPr>
          <w:t xml:space="preserve">3</w:t>
        </w:r>
      </w:hyperlink>
      <w:r>
        <w:rPr>
          <w:rFonts w:ascii="Arial" w:hAnsi="Arial"/>
          <w:sz w:val="22"/>
        </w:rPr>
        <w:t xml:space="preserve">.</w:t>
      </w:r>
    </w:p>
    <w:p>
      <w:pPr>
        <w:numPr>
          <w:ilvl w:val="0"/>
          <w:numId w:val="1009"/>
        </w:numPr>
      </w:pPr>
      <w:r>
        <w:rPr>
          <w:rFonts w:ascii="Arial" w:hAnsi="Arial"/>
          <w:b/>
          <w:bCs/>
          <w:sz w:val="22"/>
        </w:rPr>
        <w:t xml:space="preserve">Patented Innovations:</w:t>
      </w:r>
      <w:r>
        <w:rPr>
          <w:rFonts w:ascii="Arial" w:hAnsi="Arial"/>
          <w:sz w:val="22"/>
        </w:rPr>
        <w:t xml:space="preserve"> </w:t>
      </w:r>
      <w:r>
        <w:rPr>
          <w:rFonts w:ascii="Arial" w:hAnsi="Arial"/>
          <w:sz w:val="22"/>
        </w:rPr>
        <w:t xml:space="preserve">Patents reveal a strong trend toward protease-activated designs</w:t>
      </w:r>
      <w:r>
        <w:rPr>
          <w:rFonts w:ascii="Arial" w:hAnsi="Arial"/>
          <w:sz w:val="22"/>
        </w:rPr>
        <w:t xml:space="preserve"> </w:t>
      </w:r>
      <w:hyperlink r:id="rId16">
        <w:r>
          <w:rPr>
            <w:rStyle w:val="Hyperlink"/>
          </w:rPr>
          <w:t xml:space="preserve">29</w:t>
        </w:r>
      </w:hyperlink>
      <w:r>
        <w:rPr>
          <w:rFonts w:ascii="Arial" w:hAnsi="Arial"/>
          <w:sz w:val="22"/>
        </w:rPr>
        <w:t xml:space="preserve">, dual-cytokine fusions (e.g., IL-12 + IFN-α)</w:t>
      </w:r>
      <w:r>
        <w:rPr>
          <w:rFonts w:ascii="Arial" w:hAnsi="Arial"/>
          <w:sz w:val="22"/>
        </w:rPr>
        <w:t xml:space="preserve"> </w:t>
      </w:r>
      <w:hyperlink r:id="rId33">
        <w:r>
          <w:rPr>
            <w:rStyle w:val="Hyperlink"/>
          </w:rPr>
          <w:t xml:space="preserve">30</w:t>
        </w:r>
      </w:hyperlink>
      <w:r>
        <w:rPr>
          <w:rFonts w:ascii="Arial" w:hAnsi="Arial"/>
          <w:sz w:val="22"/>
        </w:rPr>
        <w:t xml:space="preserve">, and constructs anchored to the tumor matrix</w:t>
      </w:r>
      <w:r>
        <w:rPr>
          <w:rFonts w:ascii="Arial" w:hAnsi="Arial"/>
          <w:sz w:val="22"/>
        </w:rPr>
        <w:t xml:space="preserve"> </w:t>
      </w:r>
      <w:hyperlink r:id="rId34">
        <w:r>
          <w:rPr>
            <w:rStyle w:val="Hyperlink"/>
          </w:rPr>
          <w:t xml:space="preserve">32</w:t>
        </w:r>
      </w:hyperlink>
      <w:r>
        <w:rPr>
          <w:rFonts w:ascii="Arial" w:hAnsi="Arial"/>
          <w:sz w:val="22"/>
        </w:rPr>
        <w:t xml:space="preserve">.</w:t>
      </w:r>
    </w:p>
    <w:bookmarkEnd w:id="35"/>
    <w:bookmarkStart w:id="37" w:name="interferons-ifns-and-other-cytokines"/>
    <w:p>
      <w:pPr>
        <w:pStyle w:val="Heading4"/>
      </w:pPr>
      <w:r>
        <w:rPr>
          <w:rFonts w:ascii="Arial" w:hAnsi="Arial"/>
          <w:b/>
          <w:bCs/>
        </w:rPr>
        <w:t xml:space="preserve">4. Interferons (IFNs) and Other Cytokines</w:t>
      </w:r>
    </w:p>
    <w:p>
      <w:pPr>
        <w:pStyle w:val="Compact"/>
        <w:numPr>
          <w:ilvl w:val="0"/>
          <w:numId w:val="1012"/>
        </w:numPr>
      </w:pPr>
      <w:r>
        <w:rPr>
          <w:rFonts w:ascii="Arial" w:hAnsi="Arial"/>
          <w:b/>
          <w:bCs/>
          <w:sz w:val="22"/>
        </w:rPr>
        <w:t xml:space="preserve">Interferons:</w:t>
      </w:r>
      <w:r>
        <w:rPr>
          <w:rFonts w:ascii="Arial" w:hAnsi="Arial"/>
          <w:sz w:val="22"/>
        </w:rPr>
        <w:t xml:space="preserve"> </w:t>
      </w:r>
      <w:r>
        <w:rPr>
          <w:rFonts w:ascii="Arial" w:hAnsi="Arial"/>
          <w:sz w:val="22"/>
        </w:rPr>
        <w:t xml:space="preserve">This legacy class continues to find new life.</w:t>
      </w:r>
    </w:p>
    <w:p>
      <w:pPr>
        <w:pStyle w:val="Compact"/>
        <w:numPr>
          <w:ilvl w:val="1"/>
          <w:numId w:val="1013"/>
        </w:numPr>
      </w:pPr>
      <w:r>
        <w:rPr>
          <w:rFonts w:ascii="Arial" w:hAnsi="Arial"/>
          <w:b/>
          <w:bCs/>
          <w:sz w:val="22"/>
        </w:rPr>
        <w:t xml:space="preserve">Ropeginterferon-alfa-2b (Besremi)</w:t>
      </w:r>
      <w:r>
        <w:rPr>
          <w:rFonts w:ascii="Arial" w:hAnsi="Arial"/>
          <w:sz w:val="22"/>
        </w:rPr>
        <w:t xml:space="preserve"> </w:t>
      </w:r>
      <w:r>
        <w:rPr>
          <w:rFonts w:ascii="Arial" w:hAnsi="Arial"/>
          <w:sz w:val="22"/>
        </w:rPr>
        <w:t xml:space="preserve">received FDA approval in 2021 for polycythemia vera and is being explored in solid tumors</w:t>
      </w:r>
      <w:r>
        <w:rPr>
          <w:rFonts w:ascii="Arial" w:hAnsi="Arial"/>
          <w:sz w:val="22"/>
        </w:rPr>
        <w:t xml:space="preserve"> </w:t>
      </w:r>
      <w:hyperlink r:id="rId20">
        <w:r>
          <w:rPr>
            <w:rStyle w:val="Hyperlink"/>
          </w:rPr>
          <w:t xml:space="preserve">3</w:t>
        </w:r>
      </w:hyperlink>
      <w:r>
        <w:rPr>
          <w:rFonts w:ascii="Arial" w:hAnsi="Arial"/>
          <w:sz w:val="22"/>
        </w:rPr>
        <w:t xml:space="preserve">.</w:t>
      </w:r>
    </w:p>
    <w:p>
      <w:pPr>
        <w:pStyle w:val="Compact"/>
        <w:numPr>
          <w:ilvl w:val="1"/>
          <w:numId w:val="1013"/>
        </w:numPr>
      </w:pPr>
      <w:r>
        <w:rPr>
          <w:rFonts w:ascii="Arial" w:hAnsi="Arial"/>
          <w:b/>
          <w:bCs/>
          <w:sz w:val="22"/>
        </w:rPr>
        <w:t xml:space="preserve">Modakafusp Alfa (TAK-573):</w:t>
      </w:r>
      <w:r>
        <w:rPr>
          <w:rFonts w:ascii="Arial" w:hAnsi="Arial"/>
          <w:sz w:val="22"/>
        </w:rPr>
        <w:t xml:space="preserve"> </w:t>
      </w:r>
      <w:r>
        <w:rPr>
          <w:rFonts w:ascii="Arial" w:hAnsi="Arial"/>
          <w:sz w:val="22"/>
        </w:rPr>
        <w:t xml:space="preserve">A novel agent from Takeda (Japan) that fuses an attenuated IFN-α2b to an anti-CD38 antibody. It showed a 43% ORR in relapsed/refractory multiple myeloma, demonstrating the potential of targeted IFN delivery</w:t>
      </w:r>
      <w:r>
        <w:rPr>
          <w:rFonts w:ascii="Arial" w:hAnsi="Arial"/>
          <w:sz w:val="22"/>
        </w:rPr>
        <w:t xml:space="preserve"> </w:t>
      </w:r>
      <w:hyperlink r:id="rId26">
        <w:r>
          <w:rPr>
            <w:rStyle w:val="Hyperlink"/>
          </w:rPr>
          <w:t xml:space="preserve">11</w:t>
        </w:r>
      </w:hyperlink>
      <w:r>
        <w:rPr>
          <w:rFonts w:ascii="Arial" w:hAnsi="Arial"/>
          <w:sz w:val="22"/>
        </w:rPr>
        <w:t xml:space="preserve">.</w:t>
      </w:r>
    </w:p>
    <w:p>
      <w:pPr>
        <w:pStyle w:val="Compact"/>
        <w:numPr>
          <w:ilvl w:val="0"/>
          <w:numId w:val="1012"/>
        </w:numPr>
      </w:pPr>
      <w:r>
        <w:rPr>
          <w:rFonts w:ascii="Arial" w:hAnsi="Arial"/>
          <w:b/>
          <w:bCs/>
          <w:sz w:val="22"/>
        </w:rPr>
        <w:t xml:space="preserve">Interleukin-7 (IL-7):</w:t>
      </w:r>
      <w:r>
        <w:rPr>
          <w:rFonts w:ascii="Arial" w:hAnsi="Arial"/>
          <w:sz w:val="22"/>
        </w:rPr>
        <w:t xml:space="preserve"> </w:t>
      </w:r>
      <w:r>
        <w:rPr>
          <w:rFonts w:ascii="Arial" w:hAnsi="Arial"/>
          <w:sz w:val="22"/>
        </w:rPr>
        <w:t xml:space="preserve">IL-7 is crucial for T-cell homeostasis.</w:t>
      </w:r>
    </w:p>
    <w:p>
      <w:pPr>
        <w:pStyle w:val="Compact"/>
        <w:numPr>
          <w:ilvl w:val="1"/>
          <w:numId w:val="1014"/>
        </w:numPr>
      </w:pPr>
      <w:r>
        <w:rPr>
          <w:rFonts w:ascii="Arial" w:hAnsi="Arial"/>
          <w:b/>
          <w:bCs/>
          <w:sz w:val="22"/>
        </w:rPr>
        <w:t xml:space="preserve">Efineptakin Alfa (NT-I7):</w:t>
      </w:r>
      <w:r>
        <w:rPr>
          <w:rFonts w:ascii="Arial" w:hAnsi="Arial"/>
          <w:sz w:val="22"/>
        </w:rPr>
        <w:t xml:space="preserve"> </w:t>
      </w:r>
      <w:r>
        <w:rPr>
          <w:rFonts w:ascii="Arial" w:hAnsi="Arial"/>
          <w:sz w:val="22"/>
        </w:rPr>
        <w:t xml:space="preserve">A long-acting IL-7-Fc fusion designed to expand T-cell counts. However, I-Mab discontinued its internal development in 2024 due to strategic reprioritization after mixed early-phase results</w:t>
      </w:r>
      <w:r>
        <w:rPr>
          <w:rFonts w:ascii="Arial" w:hAnsi="Arial"/>
          <w:sz w:val="22"/>
        </w:rPr>
        <w:t xml:space="preserve"> </w:t>
      </w:r>
      <w:hyperlink r:id="rId36">
        <w:r>
          <w:rPr>
            <w:rStyle w:val="Hyperlink"/>
          </w:rPr>
          <w:t xml:space="preserve">15</w:t>
        </w:r>
      </w:hyperlink>
      <w:r>
        <w:rPr>
          <w:rFonts w:ascii="Arial" w:hAnsi="Arial"/>
          <w:sz w:val="22"/>
        </w:rPr>
        <w:t xml:space="preserve">.</w:t>
      </w:r>
    </w:p>
    <w:p>
      <w:pPr>
        <w:pStyle w:val="Compact"/>
        <w:numPr>
          <w:ilvl w:val="0"/>
          <w:numId w:val="1012"/>
        </w:numPr>
      </w:pPr>
      <w:r>
        <w:rPr>
          <w:rFonts w:ascii="Arial" w:hAnsi="Arial"/>
          <w:b/>
          <w:bCs/>
          <w:sz w:val="22"/>
        </w:rPr>
        <w:t xml:space="preserve">Tumor Necrosis Factor (TNF):</w:t>
      </w:r>
      <w:r>
        <w:rPr>
          <w:rFonts w:ascii="Arial" w:hAnsi="Arial"/>
          <w:sz w:val="22"/>
        </w:rPr>
        <w:t xml:space="preserve"> </w:t>
      </w:r>
      <w:r>
        <w:rPr>
          <w:rFonts w:ascii="Arial" w:hAnsi="Arial"/>
          <w:sz w:val="22"/>
        </w:rPr>
        <w:t xml:space="preserve">TNF-α’s potent anti-tumor effects are offset by severe systemic toxicity. Modern approaches rely on intratumoral delivery, such as with</w:t>
      </w:r>
      <w:r>
        <w:rPr>
          <w:rFonts w:ascii="Arial" w:hAnsi="Arial"/>
          <w:sz w:val="22"/>
        </w:rPr>
        <w:t xml:space="preserve"> </w:t>
      </w:r>
      <w:r>
        <w:rPr>
          <w:rFonts w:ascii="Arial" w:hAnsi="Arial"/>
          <w:b/>
          <w:bCs/>
          <w:sz w:val="22"/>
        </w:rPr>
        <w:t xml:space="preserve">Nidlegy</w:t>
      </w:r>
      <w:r>
        <w:rPr>
          <w:rFonts w:ascii="Arial" w:hAnsi="Arial"/>
          <w:sz w:val="22"/>
        </w:rPr>
        <w:t xml:space="preserve"> </w:t>
      </w:r>
      <w:r>
        <w:rPr>
          <w:rFonts w:ascii="Arial" w:hAnsi="Arial"/>
          <w:sz w:val="22"/>
        </w:rPr>
        <w:t xml:space="preserve">(a TNF-α/IL-2 fusion) or nanoparticle formulations like</w:t>
      </w:r>
      <w:r>
        <w:rPr>
          <w:rFonts w:ascii="Arial" w:hAnsi="Arial"/>
          <w:sz w:val="22"/>
        </w:rPr>
        <w:t xml:space="preserve"> </w:t>
      </w:r>
      <w:r>
        <w:rPr>
          <w:rFonts w:ascii="Arial" w:hAnsi="Arial"/>
          <w:b/>
          <w:bCs/>
          <w:sz w:val="22"/>
        </w:rPr>
        <w:t xml:space="preserve">CYT-6091</w:t>
      </w:r>
      <w:r>
        <w:rPr>
          <w:rFonts w:ascii="Arial" w:hAnsi="Arial"/>
          <w:sz w:val="22"/>
        </w:rPr>
        <w:t xml:space="preserve"> </w:t>
      </w:r>
      <w:hyperlink r:id="rId21">
        <w:r>
          <w:rPr>
            <w:rStyle w:val="Hyperlink"/>
          </w:rPr>
          <w:t xml:space="preserve">1</w:t>
        </w:r>
      </w:hyperlink>
      <w:r>
        <w:rPr>
          <w:rFonts w:ascii="Arial" w:hAnsi="Arial"/>
          <w:sz w:val="22"/>
        </w:rPr>
        <w:t xml:space="preserve">.</w:t>
      </w:r>
    </w:p>
    <w:p>
      <w:pPr>
        <w:pStyle w:val="Compact"/>
        <w:numPr>
          <w:ilvl w:val="0"/>
          <w:numId w:val="1012"/>
        </w:numPr>
      </w:pPr>
      <w:r>
        <w:rPr>
          <w:rFonts w:ascii="Arial" w:hAnsi="Arial"/>
          <w:b/>
          <w:bCs/>
          <w:sz w:val="22"/>
        </w:rPr>
        <w:t xml:space="preserve">Colony-Stimulating Factors (CSFs):</w:t>
      </w:r>
      <w:r>
        <w:rPr>
          <w:rFonts w:ascii="Arial" w:hAnsi="Arial"/>
          <w:sz w:val="22"/>
        </w:rPr>
        <w:t xml:space="preserve"> </w:t>
      </w:r>
      <w:r>
        <w:rPr>
          <w:rFonts w:ascii="Arial" w:hAnsi="Arial"/>
          <w:b/>
          <w:bCs/>
          <w:sz w:val="22"/>
        </w:rPr>
        <w:t xml:space="preserve">Sargramostim (GM-CSF)</w:t>
      </w:r>
      <w:r>
        <w:rPr>
          <w:rFonts w:ascii="Arial" w:hAnsi="Arial"/>
          <w:sz w:val="22"/>
        </w:rPr>
        <w:t xml:space="preserve"> </w:t>
      </w:r>
      <w:r>
        <w:rPr>
          <w:rFonts w:ascii="Arial" w:hAnsi="Arial"/>
          <w:sz w:val="22"/>
        </w:rPr>
        <w:t xml:space="preserve">is used to promote dendritic cell maturation and antigen presentation, often as a component of cancer vaccines</w:t>
      </w:r>
      <w:r>
        <w:rPr>
          <w:rFonts w:ascii="Arial" w:hAnsi="Arial"/>
          <w:sz w:val="22"/>
        </w:rPr>
        <w:t xml:space="preserve"> </w:t>
      </w:r>
      <w:hyperlink r:id="rId21">
        <w:r>
          <w:rPr>
            <w:rStyle w:val="Hyperlink"/>
          </w:rPr>
          <w:t xml:space="preserve">1</w:t>
        </w:r>
      </w:hyperlink>
      <w:r>
        <w:rPr>
          <w:rFonts w:ascii="Arial" w:hAnsi="Arial"/>
          <w:sz w:val="22"/>
        </w:rPr>
        <w:t xml:space="preserve">.</w:t>
      </w:r>
    </w:p>
    <w:p>
      <w:r>
        <w:rPr>
          <w:rFonts w:ascii="Arial" w:hAnsi="Arial"/>
          <w:sz w:val="22"/>
        </w:rPr>
        <w:pict>
          <v:rect style="width:0;height:1.5pt" o:hralign="center" o:hrstd="t" o:hr="t"/>
        </w:pict>
      </w:r>
    </w:p>
    <w:bookmarkEnd w:id="37"/>
    <w:bookmarkEnd w:id="38"/>
    <w:bookmarkStart w:id="42" w:name="Xbb5c1aa377fd5d5b2b19c7705077f69fd748d96"/>
    <w:p>
      <w:pPr>
        <w:pStyle w:val="Heading3"/>
      </w:pPr>
      <w:r>
        <w:rPr>
          <w:rFonts w:ascii="Arial" w:hAnsi="Arial"/>
          <w:b/>
          <w:bCs/>
        </w:rPr>
        <w:t xml:space="preserve">Cross-Modality Comparison: Efficacy, Safety, and Strategy</w:t>
      </w:r>
    </w:p>
    <w:p>
      <w:pPr>
        <w:pStyle w:val="FirstParagraph"/>
      </w:pPr>
      <w:r>
        <w:rPr>
          <w:rFonts w:ascii="Arial" w:hAnsi="Arial"/>
          <w:sz w:val="22"/>
        </w:rPr>
        <w:t xml:space="preserve">Direct comparison of efficacy data is challenging due to the early stage of most trials and diverse patient populations. However, we can summarize the strategic approach, representative signals, and key toxicities for each class.</w:t>
      </w:r>
    </w:p>
    <w:bookmarkStart w:id="39" w:name="modality-snapshot-2021-2025"/>
    <w:p>
      <w:pPr>
        <w:pStyle w:val="Heading4"/>
      </w:pPr>
      <w:r>
        <w:rPr>
          <w:rFonts w:ascii="Arial" w:hAnsi="Arial"/>
          <w:b/>
          <w:bCs/>
        </w:rPr>
        <w:t xml:space="preserve">Modality Snapshot (2021-2025)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Modality</w:t>
            </w:r>
          </w:p>
        </w:tc>
        <w:tc>
          <w:tcPr/>
          <w:p>
            <w:pPr>
              <w:pStyle w:val="Compact"/>
              <w:jc w:val="left"/>
            </w:pPr>
            <w:r>
              <w:t xml:space="preserve">Key Mechanistic Feature</w:t>
            </w:r>
          </w:p>
        </w:tc>
        <w:tc>
          <w:tcPr/>
          <w:p>
            <w:pPr>
              <w:pStyle w:val="Compact"/>
              <w:jc w:val="left"/>
            </w:pPr>
            <w:r>
              <w:t xml:space="preserve">TME Modulation</w:t>
            </w:r>
          </w:p>
        </w:tc>
        <w:tc>
          <w:tcPr/>
          <w:p>
            <w:pPr>
              <w:pStyle w:val="Compact"/>
              <w:jc w:val="left"/>
            </w:pPr>
            <w:r>
              <w:t xml:space="preserve">Representative Efficacy/Safety Signals</w:t>
            </w:r>
          </w:p>
        </w:tc>
      </w:tr>
      <w:tr>
        <w:tc>
          <w:tcPr/>
          <w:p>
            <w:pPr>
              <w:pStyle w:val="Compact"/>
              <w:jc w:val="left"/>
            </w:pPr>
            <w:r>
              <w:rPr>
                <w:b/>
                <w:bCs/>
              </w:rPr>
              <w:t xml:space="preserve">“Not-alpha”</w:t>
            </w:r>
            <w:r>
              <w:rPr>
                <w:b/>
                <w:bCs/>
              </w:rPr>
              <w:t xml:space="preserve"> </w:t>
            </w:r>
            <w:r>
              <w:rPr>
                <w:b/>
                <w:bCs/>
              </w:rPr>
              <w:t xml:space="preserve">IL-2 Muteins</w:t>
            </w:r>
          </w:p>
        </w:tc>
        <w:tc>
          <w:tcPr/>
          <w:p>
            <w:pPr>
              <w:pStyle w:val="Compact"/>
              <w:jc w:val="left"/>
            </w:pPr>
            <w:r>
              <w:t xml:space="preserve">Biases signaling to IL-2Rβγ, sparing Tregs.</w:t>
            </w:r>
          </w:p>
        </w:tc>
        <w:tc>
          <w:tcPr/>
          <w:p>
            <w:pPr>
              <w:pStyle w:val="Compact"/>
              <w:jc w:val="left"/>
            </w:pPr>
            <w:r>
              <w:t xml:space="preserve">Preferentially expands PD-1+ effector CD8+ T cells in tumors.</w:t>
            </w:r>
          </w:p>
        </w:tc>
        <w:tc>
          <w:tcPr/>
          <w:p>
            <w:pPr>
              <w:pStyle w:val="Compact"/>
              <w:jc w:val="left"/>
            </w:pPr>
            <w:r>
              <w:t xml:space="preserve">Phase 3 setbacks (bempegaldesleukin, nemvaleukin) highlight efficacy challenges despite improved safety over HD-IL-2</w:t>
            </w:r>
            <w:r>
              <w:t xml:space="preserve"> </w:t>
            </w:r>
            <w:hyperlink r:id="rId20">
              <w:r>
                <w:rPr>
                  <w:rStyle w:val="Hyperlink"/>
                </w:rPr>
                <w:t xml:space="preserve">3</w:t>
              </w:r>
            </w:hyperlink>
            <w:hyperlink r:id="rId10">
              <w:r>
                <w:rPr>
                  <w:rStyle w:val="Hyperlink"/>
                </w:rPr>
                <w:t xml:space="preserve">13</w:t>
              </w:r>
            </w:hyperlink>
            <w:hyperlink r:id="rId11">
              <w:r>
                <w:rPr>
                  <w:rStyle w:val="Hyperlink"/>
                </w:rPr>
                <w:t xml:space="preserve">14</w:t>
              </w:r>
            </w:hyperlink>
            <w:r>
              <w:t xml:space="preserve">.</w:t>
            </w:r>
          </w:p>
        </w:tc>
      </w:tr>
      <w:tr>
        <w:tc>
          <w:tcPr/>
          <w:p>
            <w:pPr>
              <w:pStyle w:val="Compact"/>
              <w:jc w:val="left"/>
            </w:pPr>
            <w:r>
              <w:rPr>
                <w:b/>
                <w:bCs/>
              </w:rPr>
              <w:t xml:space="preserve">IL-15 Superagonists</w:t>
            </w:r>
          </w:p>
        </w:tc>
        <w:tc>
          <w:tcPr/>
          <w:p>
            <w:pPr>
              <w:pStyle w:val="Compact"/>
              <w:jc w:val="left"/>
            </w:pPr>
            <w:r>
              <w:t xml:space="preserve">Potent trans-presentation of IL-15/IL-15Rα.</w:t>
            </w:r>
          </w:p>
        </w:tc>
        <w:tc>
          <w:tcPr/>
          <w:p>
            <w:pPr>
              <w:pStyle w:val="Compact"/>
              <w:jc w:val="left"/>
            </w:pPr>
            <w:r>
              <w:t xml:space="preserve">Drives expansion of NK and memory CD8+ T cells; can turn</w:t>
            </w:r>
            <w:r>
              <w:t xml:space="preserve"> </w:t>
            </w:r>
            <w:r>
              <w:t xml:space="preserve">“cold”</w:t>
            </w:r>
            <w:r>
              <w:t xml:space="preserve"> </w:t>
            </w:r>
            <w:r>
              <w:t xml:space="preserve">tumors</w:t>
            </w:r>
            <w:r>
              <w:t xml:space="preserve"> </w:t>
            </w:r>
            <w:r>
              <w:t xml:space="preserve">“hot”</w:t>
            </w:r>
            <w:r>
              <w:t xml:space="preserve">.</w:t>
            </w:r>
          </w:p>
        </w:tc>
        <w:tc>
          <w:tcPr/>
          <w:p>
            <w:pPr>
              <w:pStyle w:val="Compact"/>
              <w:jc w:val="left"/>
            </w:pPr>
            <w:r>
              <w:rPr>
                <w:b/>
                <w:bCs/>
              </w:rPr>
              <w:t xml:space="preserve">N-803:</w:t>
            </w:r>
            <w:r>
              <w:t xml:space="preserve"> </w:t>
            </w:r>
            <w:r>
              <w:t xml:space="preserve">High CR rates in NMIBC</w:t>
            </w:r>
            <w:r>
              <w:t xml:space="preserve"> </w:t>
            </w:r>
            <w:hyperlink r:id="rId9">
              <w:r>
                <w:rPr>
                  <w:rStyle w:val="Hyperlink"/>
                </w:rPr>
                <w:t xml:space="preserve">4</w:t>
              </w:r>
            </w:hyperlink>
            <w:r>
              <w:t xml:space="preserve">.</w:t>
            </w:r>
            <w:r>
              <w:t xml:space="preserve"> </w:t>
            </w:r>
            <w:r>
              <w:rPr>
                <w:b/>
                <w:bCs/>
              </w:rPr>
              <w:t xml:space="preserve">SOT101:</w:t>
            </w:r>
            <w:r>
              <w:t xml:space="preserve"> </w:t>
            </w:r>
            <w:r>
              <w:t xml:space="preserve">63% CBR with pembrolizumab</w:t>
            </w:r>
            <w:r>
              <w:t xml:space="preserve"> </w:t>
            </w:r>
            <w:hyperlink r:id="rId26">
              <w:r>
                <w:rPr>
                  <w:rStyle w:val="Hyperlink"/>
                </w:rPr>
                <w:t xml:space="preserve">11</w:t>
              </w:r>
            </w:hyperlink>
            <w:r>
              <w:t xml:space="preserve">. Safety: Manageable pyrexia, chills, CRS.</w:t>
            </w:r>
          </w:p>
        </w:tc>
      </w:tr>
      <w:tr>
        <w:tc>
          <w:tcPr/>
          <w:p>
            <w:pPr>
              <w:pStyle w:val="Compact"/>
              <w:jc w:val="left"/>
            </w:pPr>
            <w:r>
              <w:rPr>
                <w:b/>
                <w:bCs/>
              </w:rPr>
              <w:t xml:space="preserve">Tumor-Targeted IL-12</w:t>
            </w:r>
          </w:p>
        </w:tc>
        <w:tc>
          <w:tcPr/>
          <w:p>
            <w:pPr>
              <w:pStyle w:val="Compact"/>
              <w:jc w:val="left"/>
            </w:pPr>
            <w:r>
              <w:t xml:space="preserve">Confines potent Th1-skewing activity to the TME.</w:t>
            </w:r>
          </w:p>
        </w:tc>
        <w:tc>
          <w:tcPr/>
          <w:p>
            <w:pPr>
              <w:pStyle w:val="Compact"/>
              <w:jc w:val="left"/>
            </w:pPr>
            <w:r>
              <w:t xml:space="preserve">Reprograms myeloid cells, enhances CTL recruitment, induces IFN-γ.</w:t>
            </w:r>
          </w:p>
        </w:tc>
        <w:tc>
          <w:tcPr/>
          <w:p>
            <w:pPr>
              <w:pStyle w:val="Compact"/>
              <w:jc w:val="left"/>
            </w:pPr>
            <w:r>
              <w:t xml:space="preserve">Early-phase trials show intratumoral PD effects with reduced systemic AEs. Awaits pivotal data</w:t>
            </w:r>
            <w:r>
              <w:t xml:space="preserve"> </w:t>
            </w:r>
            <w:hyperlink r:id="rId20">
              <w:r>
                <w:rPr>
                  <w:rStyle w:val="Hyperlink"/>
                </w:rPr>
                <w:t xml:space="preserve">3</w:t>
              </w:r>
            </w:hyperlink>
            <w:hyperlink r:id="rId22">
              <w:r>
                <w:rPr>
                  <w:rStyle w:val="Hyperlink"/>
                </w:rPr>
                <w:t xml:space="preserve">18</w:t>
              </w:r>
            </w:hyperlink>
            <w:r>
              <w:t xml:space="preserve">.</w:t>
            </w:r>
          </w:p>
        </w:tc>
      </w:tr>
      <w:tr>
        <w:tc>
          <w:tcPr/>
          <w:p>
            <w:pPr>
              <w:pStyle w:val="Compact"/>
              <w:jc w:val="left"/>
            </w:pPr>
            <w:r>
              <w:rPr>
                <w:b/>
                <w:bCs/>
              </w:rPr>
              <w:t xml:space="preserve">Targeted Interferons</w:t>
            </w:r>
          </w:p>
        </w:tc>
        <w:tc>
          <w:tcPr/>
          <w:p>
            <w:pPr>
              <w:pStyle w:val="Compact"/>
              <w:jc w:val="left"/>
            </w:pPr>
            <w:r>
              <w:t xml:space="preserve">Delivers IFN payload via antibody to specific cells.</w:t>
            </w:r>
          </w:p>
        </w:tc>
        <w:tc>
          <w:tcPr/>
          <w:p>
            <w:pPr>
              <w:pStyle w:val="Compact"/>
              <w:jc w:val="left"/>
            </w:pPr>
            <w:r>
              <w:t xml:space="preserve">Enhances antigen presentation and direct anti-proliferative effects locally.</w:t>
            </w:r>
          </w:p>
        </w:tc>
        <w:tc>
          <w:tcPr/>
          <w:p>
            <w:pPr>
              <w:pStyle w:val="Compact"/>
              <w:jc w:val="left"/>
            </w:pPr>
            <w:r>
              <w:rPr>
                <w:b/>
                <w:bCs/>
              </w:rPr>
              <w:t xml:space="preserve">Modakafusp Alfa:</w:t>
            </w:r>
            <w:r>
              <w:t xml:space="preserve"> </w:t>
            </w:r>
            <w:r>
              <w:t xml:space="preserve">43% ORR in R/R myeloma</w:t>
            </w:r>
            <w:r>
              <w:t xml:space="preserve"> </w:t>
            </w:r>
            <w:hyperlink r:id="rId26">
              <w:r>
                <w:rPr>
                  <w:rStyle w:val="Hyperlink"/>
                </w:rPr>
                <w:t xml:space="preserve">11</w:t>
              </w:r>
            </w:hyperlink>
            <w:r>
              <w:t xml:space="preserve">. Safety: Infusion-related reactions, chills.</w:t>
            </w:r>
          </w:p>
        </w:tc>
      </w:tr>
      <w:tr>
        <w:tc>
          <w:tcPr/>
          <w:p>
            <w:pPr>
              <w:pStyle w:val="Compact"/>
              <w:jc w:val="left"/>
            </w:pPr>
            <w:r>
              <w:rPr>
                <w:b/>
                <w:bCs/>
              </w:rPr>
              <w:t xml:space="preserve">Immunocytokines</w:t>
            </w:r>
          </w:p>
        </w:tc>
        <w:tc>
          <w:tcPr/>
          <w:p>
            <w:pPr>
              <w:pStyle w:val="Compact"/>
              <w:jc w:val="left"/>
            </w:pPr>
            <w:r>
              <w:t xml:space="preserve">Fuses cytokine to a tumor-targeting antibody.</w:t>
            </w:r>
          </w:p>
        </w:tc>
        <w:tc>
          <w:tcPr/>
          <w:p>
            <w:pPr>
              <w:pStyle w:val="Compact"/>
              <w:jc w:val="left"/>
            </w:pPr>
            <w:r>
              <w:t xml:space="preserve">Achieves high intratumoral cytokine concentration, reinvigorating exhausted T cells.</w:t>
            </w:r>
          </w:p>
        </w:tc>
        <w:tc>
          <w:tcPr/>
          <w:p>
            <w:pPr>
              <w:pStyle w:val="Compact"/>
              <w:jc w:val="left"/>
            </w:pPr>
            <w:r>
              <w:t xml:space="preserve">Early-phase trials report DCR &gt;50% with manageable Grade 1-2 CRS</w:t>
            </w:r>
            <w:r>
              <w:t xml:space="preserve"> </w:t>
            </w:r>
            <w:hyperlink r:id="rId14">
              <w:r>
                <w:rPr>
                  <w:rStyle w:val="Hyperlink"/>
                </w:rPr>
                <w:t xml:space="preserve">5</w:t>
              </w:r>
            </w:hyperlink>
            <w:r>
              <w:t xml:space="preserve">.</w:t>
            </w:r>
          </w:p>
        </w:tc>
      </w:tr>
    </w:tbl>
    <w:p>
      <w:pPr>
        <w:pStyle w:val="BodyText"/>
      </w:pPr>
      <w:r>
        <w:rPr>
          <w:rFonts w:ascii="Arial" w:hAnsi="Arial"/>
          <w:i/>
          <w:iCs/>
          <w:sz w:val="22"/>
        </w:rPr>
        <w:t xml:space="preserve">Table data synthesized from</w:t>
      </w:r>
      <w:r>
        <w:rPr>
          <w:rFonts w:ascii="Arial" w:hAnsi="Arial"/>
          <w:i/>
          <w:iCs/>
          <w:sz w:val="22"/>
        </w:rPr>
        <w:t xml:space="preserve"> </w:t>
      </w:r>
      <w:hyperlink r:id="rId20">
        <w:r>
          <w:rPr>
            <w:rStyle w:val="Hyperlink"/>
            <w:i/>
            <w:iCs/>
          </w:rPr>
          <w:t xml:space="preserve">3</w:t>
        </w:r>
      </w:hyperlink>
      <w:hyperlink r:id="rId9">
        <w:r>
          <w:rPr>
            <w:rStyle w:val="Hyperlink"/>
            <w:i/>
            <w:iCs/>
          </w:rPr>
          <w:t xml:space="preserve">4</w:t>
        </w:r>
      </w:hyperlink>
      <w:hyperlink r:id="rId14">
        <w:r>
          <w:rPr>
            <w:rStyle w:val="Hyperlink"/>
            <w:i/>
            <w:iCs/>
          </w:rPr>
          <w:t xml:space="preserve">5</w:t>
        </w:r>
      </w:hyperlink>
      <w:hyperlink r:id="rId26">
        <w:r>
          <w:rPr>
            <w:rStyle w:val="Hyperlink"/>
            <w:i/>
            <w:iCs/>
          </w:rPr>
          <w:t xml:space="preserve">11</w:t>
        </w:r>
      </w:hyperlink>
      <w:hyperlink r:id="rId10">
        <w:r>
          <w:rPr>
            <w:rStyle w:val="Hyperlink"/>
            <w:i/>
            <w:iCs/>
          </w:rPr>
          <w:t xml:space="preserve">13</w:t>
        </w:r>
      </w:hyperlink>
      <w:hyperlink r:id="rId11">
        <w:r>
          <w:rPr>
            <w:rStyle w:val="Hyperlink"/>
            <w:i/>
            <w:iCs/>
          </w:rPr>
          <w:t xml:space="preserve">14</w:t>
        </w:r>
      </w:hyperlink>
      <w:hyperlink r:id="rId22">
        <w:r>
          <w:rPr>
            <w:rStyle w:val="Hyperlink"/>
            <w:i/>
            <w:iCs/>
          </w:rPr>
          <w:t xml:space="preserve">18</w:t>
        </w:r>
      </w:hyperlink>
      <w:r>
        <w:rPr>
          <w:rFonts w:ascii="Arial" w:hAnsi="Arial"/>
          <w:i/>
          <w:iCs/>
          <w:sz w:val="22"/>
        </w:rPr>
        <w:t xml:space="preserve">.</w:t>
      </w:r>
    </w:p>
    <w:bookmarkEnd w:id="39"/>
    <w:bookmarkStart w:id="41" w:name="Xcfcdd9be7dc56a82b6ae18d9ec6bff76d3eec95"/>
    <w:p>
      <w:pPr>
        <w:pStyle w:val="Heading4"/>
      </w:pPr>
      <w:r>
        <w:rPr>
          <w:rFonts w:ascii="Arial" w:hAnsi="Arial"/>
          <w:b/>
          <w:bCs/>
        </w:rPr>
        <w:t xml:space="preserve">Safety Profiles and Mitigation Strategies</w:t>
      </w:r>
    </w:p>
    <w:p>
      <w:pPr>
        <w:pStyle w:val="FirstParagraph"/>
      </w:pPr>
      <w:r>
        <w:rPr>
          <w:rFonts w:ascii="Arial" w:hAnsi="Arial"/>
          <w:sz w:val="22"/>
        </w:rPr>
        <w:t xml:space="preserve">A critical focus of the 2021-2025 period has been managing cytokine-related toxicities.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Cytokine Class</w:t>
            </w:r>
          </w:p>
        </w:tc>
        <w:tc>
          <w:tcPr/>
          <w:p>
            <w:pPr>
              <w:pStyle w:val="Compact"/>
              <w:jc w:val="left"/>
            </w:pPr>
            <w:r>
              <w:t xml:space="preserve">Key Toxicities</w:t>
            </w:r>
          </w:p>
        </w:tc>
        <w:tc>
          <w:tcPr/>
          <w:p>
            <w:pPr>
              <w:pStyle w:val="Compact"/>
              <w:jc w:val="left"/>
            </w:pPr>
            <w:r>
              <w:t xml:space="preserve">Mitigation Strategies</w:t>
            </w:r>
          </w:p>
        </w:tc>
      </w:tr>
      <w:tr>
        <w:tc>
          <w:tcPr/>
          <w:p>
            <w:pPr>
              <w:pStyle w:val="Compact"/>
              <w:jc w:val="left"/>
            </w:pPr>
            <w:r>
              <w:rPr>
                <w:b/>
                <w:bCs/>
              </w:rPr>
              <w:t xml:space="preserve">IL-2 (High-Dose)</w:t>
            </w:r>
          </w:p>
        </w:tc>
        <w:tc>
          <w:tcPr/>
          <w:p>
            <w:pPr>
              <w:pStyle w:val="Compact"/>
              <w:jc w:val="left"/>
            </w:pPr>
            <w:r>
              <w:rPr>
                <w:b/>
                <w:bCs/>
              </w:rPr>
              <w:t xml:space="preserve">Vascular Leak Syndrome (VLS)</w:t>
            </w:r>
            <w:r>
              <w:t xml:space="preserve">, Cytokine Release Syndrome (CRS), hypotension.</w:t>
            </w:r>
          </w:p>
        </w:tc>
        <w:tc>
          <w:tcPr/>
          <w:p>
            <w:pPr>
              <w:pStyle w:val="Compact"/>
              <w:jc w:val="left"/>
            </w:pPr>
            <w:r>
              <w:rPr>
                <w:b/>
                <w:bCs/>
              </w:rPr>
              <w:t xml:space="preserve">Primary Strategy:</w:t>
            </w:r>
            <w:r>
              <w:t xml:space="preserve"> </w:t>
            </w:r>
            <w:r>
              <w:t xml:space="preserve">Avoid native IL-2. Use engineered</w:t>
            </w:r>
            <w:r>
              <w:t xml:space="preserve"> </w:t>
            </w:r>
            <w:r>
              <w:t xml:space="preserve">“not-alpha”</w:t>
            </w:r>
            <w:r>
              <w:t xml:space="preserve"> </w:t>
            </w:r>
            <w:r>
              <w:t xml:space="preserve">variants, PEGylation, or tumor-targeted fusions to reduce IL-2Rα binding and systemic exposure</w:t>
            </w:r>
            <w:r>
              <w:t xml:space="preserve"> </w:t>
            </w:r>
            <w:hyperlink r:id="rId20">
              <w:r>
                <w:rPr>
                  <w:rStyle w:val="Hyperlink"/>
                </w:rPr>
                <w:t xml:space="preserve">3</w:t>
              </w:r>
            </w:hyperlink>
            <w:r>
              <w:t xml:space="preserve">.</w:t>
            </w:r>
          </w:p>
        </w:tc>
      </w:tr>
      <w:tr>
        <w:tc>
          <w:tcPr/>
          <w:p>
            <w:pPr>
              <w:pStyle w:val="Compact"/>
              <w:jc w:val="left"/>
            </w:pPr>
            <w:r>
              <w:rPr>
                <w:b/>
                <w:bCs/>
              </w:rPr>
              <w:t xml:space="preserve">IL-15</w:t>
            </w:r>
          </w:p>
        </w:tc>
        <w:tc>
          <w:tcPr/>
          <w:p>
            <w:pPr>
              <w:pStyle w:val="Compact"/>
              <w:jc w:val="left"/>
            </w:pPr>
            <w:r>
              <w:t xml:space="preserve">CRS, pyrexia, chills, transient cytopenias.</w:t>
            </w:r>
          </w:p>
        </w:tc>
        <w:tc>
          <w:tcPr/>
          <w:p>
            <w:pPr>
              <w:pStyle w:val="Compact"/>
              <w:jc w:val="left"/>
            </w:pPr>
            <w:r>
              <w:t xml:space="preserve">Step-up dosing, premedication (steroids, antihistamines), subcutaneous or local (e.g., intravesical) delivery to reduce peak systemic levels</w:t>
            </w:r>
            <w:r>
              <w:t xml:space="preserve"> </w:t>
            </w:r>
            <w:hyperlink r:id="rId9">
              <w:r>
                <w:rPr>
                  <w:rStyle w:val="Hyperlink"/>
                </w:rPr>
                <w:t xml:space="preserve">4</w:t>
              </w:r>
            </w:hyperlink>
            <w:hyperlink r:id="rId40">
              <w:r>
                <w:rPr>
                  <w:rStyle w:val="Hyperlink"/>
                </w:rPr>
                <w:t xml:space="preserve">9</w:t>
              </w:r>
            </w:hyperlink>
            <w:r>
              <w:t xml:space="preserve">.</w:t>
            </w:r>
          </w:p>
        </w:tc>
      </w:tr>
      <w:tr>
        <w:tc>
          <w:tcPr/>
          <w:p>
            <w:pPr>
              <w:pStyle w:val="Compact"/>
              <w:jc w:val="left"/>
            </w:pPr>
            <w:r>
              <w:rPr>
                <w:b/>
                <w:bCs/>
              </w:rPr>
              <w:t xml:space="preserve">IL-12</w:t>
            </w:r>
          </w:p>
        </w:tc>
        <w:tc>
          <w:tcPr/>
          <w:p>
            <w:pPr>
              <w:pStyle w:val="Compact"/>
              <w:jc w:val="left"/>
            </w:pPr>
            <w:r>
              <w:t xml:space="preserve">Severe CRS, hepatotoxicity, hematologic toxicity.</w:t>
            </w:r>
          </w:p>
        </w:tc>
        <w:tc>
          <w:tcPr/>
          <w:p>
            <w:pPr>
              <w:pStyle w:val="Compact"/>
              <w:jc w:val="left"/>
            </w:pPr>
            <w:r>
              <w:rPr>
                <w:b/>
                <w:bCs/>
              </w:rPr>
              <w:t xml:space="preserve">Primary Strategy:</w:t>
            </w:r>
            <w:r>
              <w:t xml:space="preserve"> </w:t>
            </w:r>
            <w:r>
              <w:t xml:space="preserve">Strict localization. Use of tumor-activated pro-drugs (masks), intratumoral injection, or antibody-fusions to prevent systemic exposure</w:t>
            </w:r>
            <w:r>
              <w:t xml:space="preserve"> </w:t>
            </w:r>
            <w:hyperlink r:id="rId20">
              <w:r>
                <w:rPr>
                  <w:rStyle w:val="Hyperlink"/>
                </w:rPr>
                <w:t xml:space="preserve">3</w:t>
              </w:r>
            </w:hyperlink>
            <w:hyperlink r:id="rId16">
              <w:r>
                <w:rPr>
                  <w:rStyle w:val="Hyperlink"/>
                </w:rPr>
                <w:t xml:space="preserve">29</w:t>
              </w:r>
            </w:hyperlink>
            <w:r>
              <w:t xml:space="preserve">.</w:t>
            </w:r>
          </w:p>
        </w:tc>
      </w:tr>
      <w:tr>
        <w:tc>
          <w:tcPr/>
          <w:p>
            <w:pPr>
              <w:pStyle w:val="Compact"/>
              <w:jc w:val="left"/>
            </w:pPr>
            <w:r>
              <w:rPr>
                <w:b/>
                <w:bCs/>
              </w:rPr>
              <w:t xml:space="preserve">Interferons</w:t>
            </w:r>
          </w:p>
        </w:tc>
        <w:tc>
          <w:tcPr/>
          <w:p>
            <w:pPr>
              <w:pStyle w:val="Compact"/>
              <w:jc w:val="left"/>
            </w:pPr>
            <w:r>
              <w:t xml:space="preserve">Flu-like symptoms, myelosuppression, depression, hepatotoxicity.</w:t>
            </w:r>
          </w:p>
        </w:tc>
        <w:tc>
          <w:tcPr/>
          <w:p>
            <w:pPr>
              <w:pStyle w:val="Compact"/>
              <w:jc w:val="left"/>
            </w:pPr>
            <w:r>
              <w:t xml:space="preserve">PEGylation for smoother PK profile, prophylactic acetaminophen, dose modifications. Targeted delivery (e.g., modakafusp) aims to limit systemic side effects</w:t>
            </w:r>
            <w:r>
              <w:t xml:space="preserve"> </w:t>
            </w:r>
            <w:hyperlink r:id="rId26">
              <w:r>
                <w:rPr>
                  <w:rStyle w:val="Hyperlink"/>
                </w:rPr>
                <w:t xml:space="preserve">11</w:t>
              </w:r>
            </w:hyperlink>
            <w:r>
              <w:t xml:space="preserve">.</w:t>
            </w:r>
          </w:p>
        </w:tc>
      </w:tr>
      <w:tr>
        <w:tc>
          <w:tcPr/>
          <w:p>
            <w:pPr>
              <w:pStyle w:val="Compact"/>
              <w:jc w:val="left"/>
            </w:pPr>
            <w:r>
              <w:rPr>
                <w:b/>
                <w:bCs/>
              </w:rPr>
              <w:t xml:space="preserve">4-1BB Agonists</w:t>
            </w:r>
          </w:p>
        </w:tc>
        <w:tc>
          <w:tcPr/>
          <w:p>
            <w:pPr>
              <w:pStyle w:val="Compact"/>
              <w:jc w:val="left"/>
            </w:pPr>
            <w:r>
              <w:t xml:space="preserve">Hepatotoxicity.</w:t>
            </w:r>
          </w:p>
        </w:tc>
        <w:tc>
          <w:tcPr/>
          <w:p>
            <w:pPr>
              <w:pStyle w:val="Compact"/>
              <w:jc w:val="left"/>
            </w:pPr>
            <w:r>
              <w:t xml:space="preserve">Next-gen bispecific formats that restrict 4-1BB engagement to the PD-L1+ TME to reduce off-target liver inflammation</w:t>
            </w:r>
            <w:r>
              <w:t xml:space="preserve"> </w:t>
            </w:r>
            <w:hyperlink r:id="rId12">
              <w:r>
                <w:rPr>
                  <w:rStyle w:val="Hyperlink"/>
                </w:rPr>
                <w:t xml:space="preserve">7</w:t>
              </w:r>
            </w:hyperlink>
            <w:r>
              <w:t xml:space="preserve">.</w:t>
            </w:r>
          </w:p>
        </w:tc>
      </w:tr>
    </w:tbl>
    <w:p>
      <w:pPr>
        <w:pStyle w:val="BodyText"/>
      </w:pPr>
      <w:r>
        <w:rPr>
          <w:rFonts w:ascii="Arial" w:hAnsi="Arial"/>
          <w:i/>
          <w:iCs/>
          <w:sz w:val="22"/>
        </w:rPr>
        <w:t xml:space="preserve">Table data synthesized from</w:t>
      </w:r>
      <w:r>
        <w:rPr>
          <w:rFonts w:ascii="Arial" w:hAnsi="Arial"/>
          <w:i/>
          <w:iCs/>
          <w:sz w:val="22"/>
        </w:rPr>
        <w:t xml:space="preserve"> </w:t>
      </w:r>
      <w:hyperlink r:id="rId20">
        <w:r>
          <w:rPr>
            <w:rStyle w:val="Hyperlink"/>
            <w:i/>
            <w:iCs/>
          </w:rPr>
          <w:t xml:space="preserve">3</w:t>
        </w:r>
      </w:hyperlink>
      <w:hyperlink r:id="rId9">
        <w:r>
          <w:rPr>
            <w:rStyle w:val="Hyperlink"/>
            <w:i/>
            <w:iCs/>
          </w:rPr>
          <w:t xml:space="preserve">4</w:t>
        </w:r>
      </w:hyperlink>
      <w:hyperlink r:id="rId12">
        <w:r>
          <w:rPr>
            <w:rStyle w:val="Hyperlink"/>
            <w:i/>
            <w:iCs/>
          </w:rPr>
          <w:t xml:space="preserve">7</w:t>
        </w:r>
      </w:hyperlink>
      <w:hyperlink r:id="rId40">
        <w:r>
          <w:rPr>
            <w:rStyle w:val="Hyperlink"/>
            <w:i/>
            <w:iCs/>
          </w:rPr>
          <w:t xml:space="preserve">9</w:t>
        </w:r>
      </w:hyperlink>
      <w:hyperlink r:id="rId26">
        <w:r>
          <w:rPr>
            <w:rStyle w:val="Hyperlink"/>
            <w:i/>
            <w:iCs/>
          </w:rPr>
          <w:t xml:space="preserve">11</w:t>
        </w:r>
      </w:hyperlink>
      <w:hyperlink r:id="rId16">
        <w:r>
          <w:rPr>
            <w:rStyle w:val="Hyperlink"/>
            <w:i/>
            <w:iCs/>
          </w:rPr>
          <w:t xml:space="preserve">29</w:t>
        </w:r>
      </w:hyperlink>
      <w:r>
        <w:rPr>
          <w:rFonts w:ascii="Arial" w:hAnsi="Arial"/>
          <w:i/>
          <w:iCs/>
          <w:sz w:val="22"/>
        </w:rPr>
        <w:t xml:space="preserve">.</w:t>
      </w:r>
    </w:p>
    <w:p>
      <w:r>
        <w:rPr>
          <w:rFonts w:ascii="Arial" w:hAnsi="Arial"/>
          <w:sz w:val="22"/>
        </w:rPr>
        <w:pict>
          <v:rect style="width:0;height:1.5pt" o:hralign="center" o:hrstd="t" o:hr="t"/>
        </w:pict>
      </w:r>
    </w:p>
    <w:bookmarkEnd w:id="41"/>
    <w:bookmarkEnd w:id="42"/>
    <w:bookmarkStart w:id="46" w:name="Xc8344a0bd0fd419ec7c84fa2aaf691e89f61b74"/>
    <w:p>
      <w:pPr>
        <w:pStyle w:val="Heading3"/>
      </w:pPr>
      <w:r>
        <w:rPr>
          <w:rFonts w:ascii="Arial" w:hAnsi="Arial"/>
          <w:b/>
          <w:bCs/>
        </w:rPr>
        <w:t xml:space="preserve">Unmet Needs, Ongoing Challenges, and Future Directions</w:t>
      </w:r>
    </w:p>
    <w:p>
      <w:pPr>
        <w:pStyle w:val="FirstParagraph"/>
      </w:pPr>
      <w:r>
        <w:rPr>
          <w:rFonts w:ascii="Arial" w:hAnsi="Arial"/>
          <w:sz w:val="22"/>
        </w:rPr>
        <w:t xml:space="preserve">The cytokine field is at a critical juncture, with immense potential tempered by significant hurdles.</w:t>
      </w:r>
    </w:p>
    <w:p>
      <w:pPr>
        <w:pStyle w:val="BodyText"/>
      </w:pPr>
      <w:r>
        <w:rPr>
          <w:rFonts w:ascii="Arial" w:hAnsi="Arial"/>
          <w:b/>
          <w:bCs/>
          <w:sz w:val="22"/>
        </w:rPr>
        <w:t xml:space="preserve">1. Ongoing Challenges</w:t>
      </w:r>
    </w:p>
    <w:p>
      <w:pPr>
        <w:pStyle w:val="Compact"/>
        <w:numPr>
          <w:ilvl w:val="0"/>
          <w:numId w:val="1015"/>
        </w:numPr>
      </w:pPr>
      <w:r>
        <w:rPr>
          <w:rFonts w:ascii="Arial" w:hAnsi="Arial"/>
          <w:b/>
          <w:bCs/>
          <w:sz w:val="22"/>
        </w:rPr>
        <w:t xml:space="preserve">The Efficacy-Toxicity Dilemma:</w:t>
      </w:r>
      <w:r>
        <w:rPr>
          <w:rFonts w:ascii="Arial" w:hAnsi="Arial"/>
          <w:sz w:val="22"/>
        </w:rPr>
        <w:t xml:space="preserve"> </w:t>
      </w:r>
      <w:r>
        <w:rPr>
          <w:rFonts w:ascii="Arial" w:hAnsi="Arial"/>
          <w:sz w:val="22"/>
        </w:rPr>
        <w:t xml:space="preserve">Despite engineering, the therapeutic window for many cytokines remains narrow. The failures of bempegaldesleukin and nemvaleukin alfa show that reducing toxicity does not automatically translate to superior efficacy</w:t>
      </w:r>
      <w:r>
        <w:rPr>
          <w:rFonts w:ascii="Arial" w:hAnsi="Arial"/>
          <w:sz w:val="22"/>
        </w:rPr>
        <w:t xml:space="preserve"> </w:t>
      </w:r>
      <w:hyperlink r:id="rId10">
        <w:r>
          <w:rPr>
            <w:rStyle w:val="Hyperlink"/>
          </w:rPr>
          <w:t xml:space="preserve">13</w:t>
        </w:r>
      </w:hyperlink>
      <w:hyperlink r:id="rId11">
        <w:r>
          <w:rPr>
            <w:rStyle w:val="Hyperlink"/>
          </w:rPr>
          <w:t xml:space="preserve">14</w:t>
        </w:r>
      </w:hyperlink>
      <w:r>
        <w:rPr>
          <w:rFonts w:ascii="Arial" w:hAnsi="Arial"/>
          <w:sz w:val="22"/>
        </w:rPr>
        <w:t xml:space="preserve">.</w:t>
      </w:r>
    </w:p>
    <w:p>
      <w:pPr>
        <w:pStyle w:val="Compact"/>
        <w:numPr>
          <w:ilvl w:val="0"/>
          <w:numId w:val="1015"/>
        </w:numPr>
      </w:pPr>
      <w:r>
        <w:rPr>
          <w:rFonts w:ascii="Arial" w:hAnsi="Arial"/>
          <w:b/>
          <w:bCs/>
          <w:sz w:val="22"/>
        </w:rPr>
        <w:t xml:space="preserve">Biomarker Deficit:</w:t>
      </w:r>
      <w:r>
        <w:rPr>
          <w:rFonts w:ascii="Arial" w:hAnsi="Arial"/>
          <w:sz w:val="22"/>
        </w:rPr>
        <w:t xml:space="preserve"> </w:t>
      </w:r>
      <w:r>
        <w:rPr>
          <w:rFonts w:ascii="Arial" w:hAnsi="Arial"/>
          <w:sz w:val="22"/>
        </w:rPr>
        <w:t xml:space="preserve">There is a profound lack of validated predictive biomarkers to select patients most likely to respond. While pharmacodynamic markers like peripheral Ki-67+ CD8+ T-cell expansion are used in early trials, robust pre-treatment biomarkers are needed</w:t>
      </w:r>
      <w:r>
        <w:rPr>
          <w:rFonts w:ascii="Arial" w:hAnsi="Arial"/>
          <w:sz w:val="22"/>
        </w:rPr>
        <w:t xml:space="preserve"> </w:t>
      </w:r>
      <w:hyperlink r:id="rId13">
        <w:r>
          <w:rPr>
            <w:rStyle w:val="Hyperlink"/>
          </w:rPr>
          <w:t xml:space="preserve">8</w:t>
        </w:r>
      </w:hyperlink>
      <w:r>
        <w:rPr>
          <w:rFonts w:ascii="Arial" w:hAnsi="Arial"/>
          <w:sz w:val="22"/>
        </w:rPr>
        <w:t xml:space="preserve">.</w:t>
      </w:r>
    </w:p>
    <w:p>
      <w:pPr>
        <w:pStyle w:val="Compact"/>
        <w:numPr>
          <w:ilvl w:val="0"/>
          <w:numId w:val="1015"/>
        </w:numPr>
      </w:pPr>
      <w:r>
        <w:rPr>
          <w:rFonts w:ascii="Arial" w:hAnsi="Arial"/>
          <w:b/>
          <w:bCs/>
          <w:sz w:val="22"/>
        </w:rPr>
        <w:t xml:space="preserve">Manufacturing Complexity:</w:t>
      </w:r>
      <w:r>
        <w:rPr>
          <w:rFonts w:ascii="Arial" w:hAnsi="Arial"/>
          <w:sz w:val="22"/>
        </w:rPr>
        <w:t xml:space="preserve"> </w:t>
      </w:r>
      <w:r>
        <w:rPr>
          <w:rFonts w:ascii="Arial" w:hAnsi="Arial"/>
          <w:sz w:val="22"/>
        </w:rPr>
        <w:t xml:space="preserve">Engineered fusions and complex proteins present significant chemistry, manufacturing, and controls (CMC) challenges, impacting stability and cost</w:t>
      </w:r>
      <w:r>
        <w:rPr>
          <w:rFonts w:ascii="Arial" w:hAnsi="Arial"/>
          <w:sz w:val="22"/>
        </w:rPr>
        <w:t xml:space="preserve"> </w:t>
      </w:r>
      <w:hyperlink r:id="rId14">
        <w:r>
          <w:rPr>
            <w:rStyle w:val="Hyperlink"/>
          </w:rPr>
          <w:t xml:space="preserve">5</w:t>
        </w:r>
      </w:hyperlink>
      <w:r>
        <w:rPr>
          <w:rFonts w:ascii="Arial" w:hAnsi="Arial"/>
          <w:sz w:val="22"/>
        </w:rPr>
        <w:t xml:space="preserve">.</w:t>
      </w:r>
    </w:p>
    <w:p>
      <w:pPr>
        <w:pStyle w:val="FirstParagraph"/>
      </w:pPr>
      <w:r>
        <w:rPr>
          <w:rFonts w:ascii="Arial" w:hAnsi="Arial"/>
          <w:b/>
          <w:bCs/>
          <w:sz w:val="22"/>
        </w:rPr>
        <w:t xml:space="preserve">2. Future Directions &amp; Innovations</w:t>
      </w:r>
    </w:p>
    <w:p>
      <w:pPr>
        <w:pStyle w:val="BodyText"/>
      </w:pPr>
      <w:r>
        <w:rPr>
          <w:rFonts w:ascii="Arial" w:hAnsi="Arial"/>
          <w:sz w:val="22"/>
        </w:rPr>
        <w:t xml:space="preserve">The path forward is paved with even more sophisticated engineering and strategic combinations.</w:t>
      </w:r>
    </w:p>
    <w:p>
      <w:pPr>
        <w:numPr>
          <w:ilvl w:val="0"/>
          <w:numId w:val="1016"/>
        </w:numPr>
      </w:pPr>
      <w:r>
        <w:rPr>
          <w:rFonts w:ascii="Arial" w:hAnsi="Arial"/>
          <w:b/>
          <w:bCs/>
          <w:sz w:val="22"/>
        </w:rPr>
        <w:t xml:space="preserve">Next-Generation Targeting:</w:t>
      </w:r>
    </w:p>
    <w:p>
      <w:pPr>
        <w:pStyle w:val="Compact"/>
        <w:numPr>
          <w:ilvl w:val="1"/>
          <w:numId w:val="1017"/>
        </w:numPr>
      </w:pPr>
      <w:r>
        <w:rPr>
          <w:rFonts w:ascii="Arial" w:hAnsi="Arial"/>
          <w:b/>
          <w:bCs/>
          <w:sz w:val="22"/>
        </w:rPr>
        <w:t xml:space="preserve">Conditional Activation:</w:t>
      </w:r>
      <w:r>
        <w:rPr>
          <w:rFonts w:ascii="Arial" w:hAnsi="Arial"/>
          <w:sz w:val="22"/>
        </w:rPr>
        <w:t xml:space="preserve"> </w:t>
      </w:r>
      <w:r>
        <w:rPr>
          <w:rFonts w:ascii="Arial" w:hAnsi="Arial"/>
          <w:sz w:val="22"/>
        </w:rPr>
        <w:t xml:space="preserve">“Masked”</w:t>
      </w:r>
      <w:r>
        <w:rPr>
          <w:rFonts w:ascii="Arial" w:hAnsi="Arial"/>
          <w:sz w:val="22"/>
        </w:rPr>
        <w:t xml:space="preserve"> </w:t>
      </w:r>
      <w:r>
        <w:rPr>
          <w:rFonts w:ascii="Arial" w:hAnsi="Arial"/>
          <w:sz w:val="22"/>
        </w:rPr>
        <w:t xml:space="preserve">or</w:t>
      </w:r>
      <w:r>
        <w:rPr>
          <w:rFonts w:ascii="Arial" w:hAnsi="Arial"/>
          <w:sz w:val="22"/>
        </w:rPr>
        <w:t xml:space="preserve"> </w:t>
      </w:r>
      <w:r>
        <w:rPr>
          <w:rFonts w:ascii="Arial" w:hAnsi="Arial"/>
          <w:sz w:val="22"/>
        </w:rPr>
        <w:t xml:space="preserve">“split”</w:t>
      </w:r>
      <w:r>
        <w:rPr>
          <w:rFonts w:ascii="Arial" w:hAnsi="Arial"/>
          <w:sz w:val="22"/>
        </w:rPr>
        <w:t xml:space="preserve"> </w:t>
      </w:r>
      <w:r>
        <w:rPr>
          <w:rFonts w:ascii="Arial" w:hAnsi="Arial"/>
          <w:sz w:val="22"/>
        </w:rPr>
        <w:t xml:space="preserve">cytokines that are activated by proteases or other TME-specific factors are a major focus, exemplified by the Gilead/Xilio deal for a masked IL-12</w:t>
      </w:r>
      <w:r>
        <w:rPr>
          <w:rFonts w:ascii="Arial" w:hAnsi="Arial"/>
          <w:sz w:val="22"/>
        </w:rPr>
        <w:t xml:space="preserve"> </w:t>
      </w:r>
      <w:hyperlink r:id="rId22">
        <w:r>
          <w:rPr>
            <w:rStyle w:val="Hyperlink"/>
          </w:rPr>
          <w:t xml:space="preserve">18</w:t>
        </w:r>
      </w:hyperlink>
      <w:hyperlink r:id="rId15">
        <w:r>
          <w:rPr>
            <w:rStyle w:val="Hyperlink"/>
          </w:rPr>
          <w:t xml:space="preserve">24</w:t>
        </w:r>
      </w:hyperlink>
      <w:r>
        <w:rPr>
          <w:rFonts w:ascii="Arial" w:hAnsi="Arial"/>
          <w:sz w:val="22"/>
        </w:rPr>
        <w:t xml:space="preserve">.</w:t>
      </w:r>
    </w:p>
    <w:p>
      <w:pPr>
        <w:pStyle w:val="Compact"/>
        <w:numPr>
          <w:ilvl w:val="1"/>
          <w:numId w:val="1017"/>
        </w:numPr>
      </w:pPr>
      <w:r>
        <w:rPr>
          <w:rFonts w:ascii="Arial" w:hAnsi="Arial"/>
          <w:b/>
          <w:bCs/>
          <w:sz w:val="22"/>
        </w:rPr>
        <w:t xml:space="preserve">Multi-functional Fusions:</w:t>
      </w:r>
      <w:r>
        <w:rPr>
          <w:rFonts w:ascii="Arial" w:hAnsi="Arial"/>
          <w:sz w:val="22"/>
        </w:rPr>
        <w:t xml:space="preserve"> </w:t>
      </w:r>
      <w:r>
        <w:rPr>
          <w:rFonts w:ascii="Arial" w:hAnsi="Arial"/>
          <w:sz w:val="22"/>
        </w:rPr>
        <w:t xml:space="preserve">Platforms are emerging that combine cytokines with other modalities, such as dual-cytokine fusions (IL-12 + IFN-α) or trispecifics that engage a tumor antigen, a T-cell, and provide a cytokine signal</w:t>
      </w:r>
      <w:r>
        <w:rPr>
          <w:rFonts w:ascii="Arial" w:hAnsi="Arial"/>
          <w:sz w:val="22"/>
        </w:rPr>
        <w:t xml:space="preserve"> </w:t>
      </w:r>
      <w:hyperlink r:id="rId43">
        <w:r>
          <w:rPr>
            <w:rStyle w:val="Hyperlink"/>
          </w:rPr>
          <w:t xml:space="preserve">6</w:t>
        </w:r>
      </w:hyperlink>
      <w:hyperlink r:id="rId33">
        <w:r>
          <w:rPr>
            <w:rStyle w:val="Hyperlink"/>
          </w:rPr>
          <w:t xml:space="preserve">30</w:t>
        </w:r>
      </w:hyperlink>
      <w:r>
        <w:rPr>
          <w:rFonts w:ascii="Arial" w:hAnsi="Arial"/>
          <w:sz w:val="22"/>
        </w:rPr>
        <w:t xml:space="preserve">.</w:t>
      </w:r>
    </w:p>
    <w:p>
      <w:pPr>
        <w:pStyle w:val="Compact"/>
        <w:numPr>
          <w:ilvl w:val="1"/>
          <w:numId w:val="1017"/>
        </w:numPr>
      </w:pPr>
      <w:r>
        <w:rPr>
          <w:rFonts w:ascii="Arial" w:hAnsi="Arial"/>
          <w:b/>
          <w:bCs/>
          <w:sz w:val="22"/>
        </w:rPr>
        <w:t xml:space="preserve">Novel Delivery Platforms:</w:t>
      </w:r>
      <w:r>
        <w:rPr>
          <w:rFonts w:ascii="Arial" w:hAnsi="Arial"/>
          <w:sz w:val="22"/>
        </w:rPr>
        <w:t xml:space="preserve"> </w:t>
      </w:r>
      <w:r>
        <w:rPr>
          <w:rFonts w:ascii="Arial" w:hAnsi="Arial"/>
          <w:sz w:val="22"/>
        </w:rPr>
        <w:t xml:space="preserve">Innovation is extending to physical delivery systems, including implantable scaffolds that provide sustained, local release of cytokines and adjuvants to convert</w:t>
      </w:r>
      <w:r>
        <w:rPr>
          <w:rFonts w:ascii="Arial" w:hAnsi="Arial"/>
          <w:sz w:val="22"/>
        </w:rPr>
        <w:t xml:space="preserve"> </w:t>
      </w:r>
      <w:r>
        <w:rPr>
          <w:rFonts w:ascii="Arial" w:hAnsi="Arial"/>
          <w:sz w:val="22"/>
        </w:rPr>
        <w:t xml:space="preserve">“cold”</w:t>
      </w:r>
      <w:r>
        <w:rPr>
          <w:rFonts w:ascii="Arial" w:hAnsi="Arial"/>
          <w:sz w:val="22"/>
        </w:rPr>
        <w:t xml:space="preserve"> </w:t>
      </w:r>
      <w:r>
        <w:rPr>
          <w:rFonts w:ascii="Arial" w:hAnsi="Arial"/>
          <w:sz w:val="22"/>
        </w:rPr>
        <w:t xml:space="preserve">tumors into</w:t>
      </w:r>
      <w:r>
        <w:rPr>
          <w:rFonts w:ascii="Arial" w:hAnsi="Arial"/>
          <w:sz w:val="22"/>
        </w:rPr>
        <w:t xml:space="preserve"> </w:t>
      </w:r>
      <w:r>
        <w:rPr>
          <w:rFonts w:ascii="Arial" w:hAnsi="Arial"/>
          <w:sz w:val="22"/>
        </w:rPr>
        <w:t xml:space="preserve">“hot”</w:t>
      </w:r>
      <w:r>
        <w:rPr>
          <w:rFonts w:ascii="Arial" w:hAnsi="Arial"/>
          <w:sz w:val="22"/>
        </w:rPr>
        <w:t xml:space="preserve"> </w:t>
      </w:r>
      <w:r>
        <w:rPr>
          <w:rFonts w:ascii="Arial" w:hAnsi="Arial"/>
          <w:sz w:val="22"/>
        </w:rPr>
        <w:t xml:space="preserve">ones</w:t>
      </w:r>
      <w:r>
        <w:rPr>
          <w:rFonts w:ascii="Arial" w:hAnsi="Arial"/>
          <w:sz w:val="22"/>
        </w:rPr>
        <w:t xml:space="preserve"> </w:t>
      </w:r>
      <w:hyperlink r:id="rId44">
        <w:r>
          <w:rPr>
            <w:rStyle w:val="Hyperlink"/>
          </w:rPr>
          <w:t xml:space="preserve">35</w:t>
        </w:r>
      </w:hyperlink>
      <w:r>
        <w:rPr>
          <w:rFonts w:ascii="Arial" w:hAnsi="Arial"/>
          <w:sz w:val="22"/>
        </w:rPr>
        <w:t xml:space="preserve">.</w:t>
      </w:r>
    </w:p>
    <w:p>
      <w:pPr>
        <w:numPr>
          <w:ilvl w:val="0"/>
          <w:numId w:val="1016"/>
        </w:numPr>
      </w:pPr>
      <w:r>
        <w:rPr>
          <w:rFonts w:ascii="Arial" w:hAnsi="Arial"/>
          <w:b/>
          <w:bCs/>
          <w:sz w:val="22"/>
        </w:rPr>
        <w:t xml:space="preserve">Rational Combination Strategies:</w:t>
      </w:r>
    </w:p>
    <w:p>
      <w:pPr>
        <w:pStyle w:val="Compact"/>
        <w:numPr>
          <w:ilvl w:val="1"/>
          <w:numId w:val="1018"/>
        </w:numPr>
      </w:pPr>
      <w:r>
        <w:rPr>
          <w:rFonts w:ascii="Arial" w:hAnsi="Arial"/>
          <w:b/>
          <w:bCs/>
          <w:sz w:val="22"/>
        </w:rPr>
        <w:t xml:space="preserve">Synergy with Checkpoint Inhibitors:</w:t>
      </w:r>
      <w:r>
        <w:rPr>
          <w:rFonts w:ascii="Arial" w:hAnsi="Arial"/>
          <w:sz w:val="22"/>
        </w:rPr>
        <w:t xml:space="preserve"> </w:t>
      </w:r>
      <w:r>
        <w:rPr>
          <w:rFonts w:ascii="Arial" w:hAnsi="Arial"/>
          <w:sz w:val="22"/>
        </w:rPr>
        <w:t xml:space="preserve">This remains the dominant paradigm, aiming to use cytokines to drive T-cell infiltration into tumors that can then be unleashed by CPIs</w:t>
      </w:r>
      <w:r>
        <w:rPr>
          <w:rFonts w:ascii="Arial" w:hAnsi="Arial"/>
          <w:sz w:val="22"/>
        </w:rPr>
        <w:t xml:space="preserve"> </w:t>
      </w:r>
      <w:hyperlink r:id="rId13">
        <w:r>
          <w:rPr>
            <w:rStyle w:val="Hyperlink"/>
          </w:rPr>
          <w:t xml:space="preserve">8</w:t>
        </w:r>
      </w:hyperlink>
      <w:r>
        <w:rPr>
          <w:rFonts w:ascii="Arial" w:hAnsi="Arial"/>
          <w:sz w:val="22"/>
        </w:rPr>
        <w:t xml:space="preserve">.</w:t>
      </w:r>
    </w:p>
    <w:p>
      <w:pPr>
        <w:pStyle w:val="Compact"/>
        <w:numPr>
          <w:ilvl w:val="1"/>
          <w:numId w:val="1018"/>
        </w:numPr>
      </w:pPr>
      <w:r>
        <w:rPr>
          <w:rFonts w:ascii="Arial" w:hAnsi="Arial"/>
          <w:b/>
          <w:bCs/>
          <w:sz w:val="22"/>
        </w:rPr>
        <w:t xml:space="preserve">Boosting Cell Therapies:</w:t>
      </w:r>
      <w:r>
        <w:rPr>
          <w:rFonts w:ascii="Arial" w:hAnsi="Arial"/>
          <w:sz w:val="22"/>
        </w:rPr>
        <w:t xml:space="preserve"> </w:t>
      </w:r>
      <w:r>
        <w:rPr>
          <w:rFonts w:ascii="Arial" w:hAnsi="Arial"/>
          <w:sz w:val="22"/>
        </w:rPr>
        <w:t xml:space="preserve">IL-15 and IL-7 are being used to enhance the expansion and persistence of CAR-T and TIL therapies, potentially improving their durability</w:t>
      </w:r>
      <w:r>
        <w:rPr>
          <w:rFonts w:ascii="Arial" w:hAnsi="Arial"/>
          <w:sz w:val="22"/>
        </w:rPr>
        <w:t xml:space="preserve"> </w:t>
      </w:r>
      <w:hyperlink r:id="rId9">
        <w:r>
          <w:rPr>
            <w:rStyle w:val="Hyperlink"/>
          </w:rPr>
          <w:t xml:space="preserve">4</w:t>
        </w:r>
      </w:hyperlink>
      <w:hyperlink r:id="rId28">
        <w:r>
          <w:rPr>
            <w:rStyle w:val="Hyperlink"/>
          </w:rPr>
          <w:t xml:space="preserve">12</w:t>
        </w:r>
      </w:hyperlink>
      <w:r>
        <w:rPr>
          <w:rFonts w:ascii="Arial" w:hAnsi="Arial"/>
          <w:sz w:val="22"/>
        </w:rPr>
        <w:t xml:space="preserve">.</w:t>
      </w:r>
    </w:p>
    <w:p>
      <w:pPr>
        <w:pStyle w:val="Compact"/>
        <w:numPr>
          <w:ilvl w:val="1"/>
          <w:numId w:val="1018"/>
        </w:numPr>
      </w:pPr>
      <w:r>
        <w:rPr>
          <w:rFonts w:ascii="Arial" w:hAnsi="Arial"/>
          <w:b/>
          <w:bCs/>
          <w:sz w:val="22"/>
        </w:rPr>
        <w:t xml:space="preserve">Pairing with Targeted Agents:</w:t>
      </w:r>
      <w:r>
        <w:rPr>
          <w:rFonts w:ascii="Arial" w:hAnsi="Arial"/>
          <w:sz w:val="22"/>
        </w:rPr>
        <w:t xml:space="preserve"> </w:t>
      </w:r>
      <w:r>
        <w:rPr>
          <w:rFonts w:ascii="Arial" w:hAnsi="Arial"/>
          <w:sz w:val="22"/>
        </w:rPr>
        <w:t xml:space="preserve">Combining cytokines with anti-angiogenic agents (e.g., VEGF inhibitors) aims to normalize tumor vasculature and improve T-cell trafficking</w:t>
      </w:r>
      <w:r>
        <w:rPr>
          <w:rFonts w:ascii="Arial" w:hAnsi="Arial"/>
          <w:sz w:val="22"/>
        </w:rPr>
        <w:t xml:space="preserve"> </w:t>
      </w:r>
      <w:hyperlink r:id="rId12">
        <w:r>
          <w:rPr>
            <w:rStyle w:val="Hyperlink"/>
          </w:rPr>
          <w:t xml:space="preserve">7</w:t>
        </w:r>
      </w:hyperlink>
      <w:r>
        <w:rPr>
          <w:rFonts w:ascii="Arial" w:hAnsi="Arial"/>
          <w:sz w:val="22"/>
        </w:rPr>
        <w:t xml:space="preserve">.</w:t>
      </w:r>
    </w:p>
    <w:p>
      <w:pPr>
        <w:numPr>
          <w:ilvl w:val="0"/>
          <w:numId w:val="1016"/>
        </w:numPr>
      </w:pPr>
      <w:r>
        <w:rPr>
          <w:rFonts w:ascii="Arial" w:hAnsi="Arial"/>
          <w:b/>
          <w:bCs/>
          <w:sz w:val="22"/>
        </w:rPr>
        <w:t xml:space="preserve">Biomarker-Driven Development:</w:t>
      </w:r>
    </w:p>
    <w:p>
      <w:pPr>
        <w:pStyle w:val="Compact"/>
        <w:numPr>
          <w:ilvl w:val="1"/>
          <w:numId w:val="1019"/>
        </w:numPr>
      </w:pPr>
      <w:r>
        <w:rPr>
          <w:rFonts w:ascii="Arial" w:hAnsi="Arial"/>
          <w:sz w:val="22"/>
        </w:rPr>
        <w:t xml:space="preserve">The field is moving toward using on-treatment pharmacodynamic readouts (e.g., intratumoral IFN-γ induction, ctDNA clearance) as early indicators of activity to guide go/no-go decisions in clinical development</w:t>
      </w:r>
      <w:r>
        <w:rPr>
          <w:rFonts w:ascii="Arial" w:hAnsi="Arial"/>
          <w:sz w:val="22"/>
        </w:rPr>
        <w:t xml:space="preserve"> </w:t>
      </w:r>
      <w:hyperlink r:id="rId45">
        <w:r>
          <w:rPr>
            <w:rStyle w:val="Hyperlink"/>
          </w:rPr>
          <w:t xml:space="preserve">2</w:t>
        </w:r>
      </w:hyperlink>
      <w:hyperlink r:id="rId13">
        <w:r>
          <w:rPr>
            <w:rStyle w:val="Hyperlink"/>
          </w:rPr>
          <w:t xml:space="preserve">8</w:t>
        </w:r>
      </w:hyperlink>
      <w:r>
        <w:rPr>
          <w:rFonts w:ascii="Arial" w:hAnsi="Arial"/>
          <w:sz w:val="22"/>
        </w:rPr>
        <w:t xml:space="preserve">.</w:t>
      </w:r>
    </w:p>
    <w:p>
      <w:pPr>
        <w:pStyle w:val="FirstParagraph"/>
      </w:pPr>
      <w:r>
        <w:rPr>
          <w:rFonts w:ascii="Arial" w:hAnsi="Arial"/>
          <w:b/>
          <w:bCs/>
          <w:sz w:val="22"/>
        </w:rPr>
        <w:t xml:space="preserve">Conclusion</w:t>
      </w:r>
    </w:p>
    <w:p>
      <w:pPr>
        <w:pStyle w:val="BodyText"/>
      </w:pPr>
      <w:r>
        <w:rPr>
          <w:rFonts w:ascii="Arial" w:hAnsi="Arial"/>
          <w:sz w:val="22"/>
        </w:rPr>
        <w:t xml:space="preserve">The 2021-2025 period has been a crucible for cytokine-based cancer therapies. It has seen the humbling of first-generation engineering efforts and the rise of more nuanced, TME-focused strategies. While regulatory approvals have been elusive, the scientific foundation has been significantly strengthened. The industry has learned that simply making a cytokine</w:t>
      </w:r>
      <w:r>
        <w:rPr>
          <w:rFonts w:ascii="Arial" w:hAnsi="Arial"/>
          <w:sz w:val="22"/>
        </w:rPr>
        <w:t xml:space="preserve"> </w:t>
      </w:r>
      <w:r>
        <w:rPr>
          <w:rFonts w:ascii="Arial" w:hAnsi="Arial"/>
          <w:sz w:val="22"/>
        </w:rPr>
        <w:t xml:space="preserve">“safer”</w:t>
      </w:r>
      <w:r>
        <w:rPr>
          <w:rFonts w:ascii="Arial" w:hAnsi="Arial"/>
          <w:sz w:val="22"/>
        </w:rPr>
        <w:t xml:space="preserve"> </w:t>
      </w:r>
      <w:r>
        <w:rPr>
          <w:rFonts w:ascii="Arial" w:hAnsi="Arial"/>
          <w:sz w:val="22"/>
        </w:rPr>
        <w:t xml:space="preserve">is not enough; it must be delivered to the right place, at the right time, and ideally in the right combination. As programs featuring masked IL-12, targeted IFNs, and IL-15 superagonists mature, the next five years will determine if this cytokine renaissance can finally deliver on its long-held promise for patients.</w:t>
      </w:r>
    </w:p>
    <w:bookmarkEnd w:id="46"/>
    <w:bookmarkEnd w:id="47"/>
    <w:bookmarkStart w:id="48" w:name="reference"/>
    <w:p>
      <w:pPr>
        <w:pStyle w:val="Heading2"/>
      </w:pPr>
      <w:r>
        <w:rPr>
          <w:rFonts w:ascii="Arial" w:hAnsi="Arial"/>
          <w:b/>
        </w:rPr>
        <w:t xml:space="preserve">Reference</w:t>
      </w:r>
    </w:p>
    <w:p>
      <w:pPr>
        <w:pStyle w:val="Compact"/>
        <w:numPr>
          <w:ilvl w:val="0"/>
          <w:numId w:val="1020"/>
        </w:numPr>
      </w:pPr>
      <w:r>
        <w:rPr>
          <w:rFonts w:ascii="Arial" w:hAnsi="Arial"/>
          <w:sz w:val="22"/>
        </w:rPr>
        <w:t xml:space="preserve">[1]. Drug-Analysis. https://www.noahai.co/tool/drug-compete/?search_param=%7B%22indication_name%22%3A%20%5B%22Hepatic%20cancer%22%2C%20%22Diffuse%20large%20B-cell%20lymphoma%22%2C%20%22Squamous%20cell%20breast%20carcinoma%22%2C%20%22Bladder%20cancer%22%2C%20%22Skin%20neoplasms%20malignant%20and%20unspecified%20%28excl%20melanoma%29%22%5D%2C%20%22phase%22%3A%20%5B%22Preclinical%22%2C%20%22IND%22%2C%20%22I%22%2C%20%22II%22%2C%20%22III%22%2C%20%22BLA%2FNDA%22%5D%2C%20%22drug_modality%22%3A%20%7B%22data%22%3A%20%5B%22Polypeptide%22%2C%20%22Recombinant%20Proteins%22%5D%2C%20%22logic%22%3A%20%22or%22%7D%2C%20%22drug_feature%22%3A%20%7B%22data%22%3A%20%5B%22Immuno-Oncology%22%2C%20%22Biosimilar%22%2C%20%22Biologic%22%5D%2C%20%22logic%22%3A%20%22or%22%7D%2C%20%22location%22%3A%20%5B%22USA%22%2C%20%22China%22%5D%2C%20%22top_n%22%3A%202000%7D</w:t>
      </w:r>
    </w:p>
    <w:p>
      <w:pPr>
        <w:pStyle w:val="Compact"/>
        <w:numPr>
          <w:ilvl w:val="0"/>
          <w:numId w:val="1020"/>
        </w:numPr>
      </w:pPr>
      <w:r>
        <w:rPr>
          <w:rFonts w:ascii="Arial" w:hAnsi="Arial"/>
          <w:sz w:val="22"/>
        </w:rPr>
        <w:t xml:space="preserve">[2]. Clinical-Trial-Result-Analysis. https://www.noahai.co/tool/clinical-result/?search_param=%7B%22indication_name%22%3A%20%5B%22Leukemia%22%2C%20%22Lymphoma%22%2C%20%22Renal%20cell%20carcinoma%22%2C%20%22Melanoma%22%2C%20%22Non-small-cell%20lung%20cancer%22%5D%2C%20%22phase%22%3A%20%5B%22Preclinical%22%2C%20%22I%22%2C%20%22II%22%2C%20%22III%22%2C%20%22IV%22%2C%20%22Others%22%5D%2C%20%22top_n%22%3A%20150%7D</w:t>
      </w:r>
    </w:p>
    <w:p>
      <w:pPr>
        <w:pStyle w:val="Compact"/>
        <w:numPr>
          <w:ilvl w:val="0"/>
          <w:numId w:val="1020"/>
        </w:numPr>
      </w:pPr>
      <w:r>
        <w:rPr>
          <w:rFonts w:ascii="Arial" w:hAnsi="Arial"/>
          <w:sz w:val="22"/>
        </w:rPr>
        <w:t xml:space="preserve">[3]. Engineered human cytokine/antibody fusion proteins expand …. https://www.sciencedirect.com/science/article/pii/S2211124722013286</w:t>
      </w:r>
    </w:p>
    <w:p>
      <w:pPr>
        <w:pStyle w:val="Compact"/>
        <w:numPr>
          <w:ilvl w:val="0"/>
          <w:numId w:val="1020"/>
        </w:numPr>
      </w:pPr>
      <w:r>
        <w:rPr>
          <w:rFonts w:ascii="Arial" w:hAnsi="Arial"/>
          <w:sz w:val="22"/>
        </w:rPr>
        <w:t xml:space="preserve">[4]. Bladder Cancer - StatPearls - NCBI Bookshelf. https://www.ncbi.nlm.nih.gov/books/NBK536923/</w:t>
      </w:r>
    </w:p>
    <w:p>
      <w:pPr>
        <w:pStyle w:val="Compact"/>
        <w:numPr>
          <w:ilvl w:val="0"/>
          <w:numId w:val="1020"/>
        </w:numPr>
      </w:pPr>
      <w:r>
        <w:rPr>
          <w:rFonts w:ascii="Arial" w:hAnsi="Arial"/>
          <w:sz w:val="22"/>
        </w:rPr>
        <w:t xml:space="preserve">[5]. Advancements and challenges in immunocytokines: A new arsenal …. https://www.sciencedirect.com/science/article/pii/S2211383524003149</w:t>
      </w:r>
    </w:p>
    <w:p>
      <w:pPr>
        <w:pStyle w:val="Compact"/>
        <w:numPr>
          <w:ilvl w:val="0"/>
          <w:numId w:val="1020"/>
        </w:numPr>
      </w:pPr>
      <w:r>
        <w:rPr>
          <w:rFonts w:ascii="Arial" w:hAnsi="Arial"/>
          <w:sz w:val="22"/>
        </w:rPr>
        <w:t xml:space="preserve">[6]. Engineering cytokines for tumor-targeting and selective T cell …. https://www.sciencedirect.com/science/article/abs/pii/S1471491425000103</w:t>
      </w:r>
    </w:p>
    <w:p>
      <w:pPr>
        <w:pStyle w:val="Compact"/>
        <w:numPr>
          <w:ilvl w:val="0"/>
          <w:numId w:val="1020"/>
        </w:numPr>
      </w:pPr>
      <w:r>
        <w:rPr>
          <w:rFonts w:ascii="Arial" w:hAnsi="Arial"/>
          <w:sz w:val="22"/>
        </w:rPr>
        <w:t xml:space="preserve">[7]. Targeting cytokine and chemokine signaling pathways for cancer …. https://www.nature.com/articles/s41392-024-01868-3</w:t>
      </w:r>
    </w:p>
    <w:p>
      <w:pPr>
        <w:pStyle w:val="Compact"/>
        <w:numPr>
          <w:ilvl w:val="0"/>
          <w:numId w:val="1020"/>
        </w:numPr>
      </w:pPr>
      <w:r>
        <w:rPr>
          <w:rFonts w:ascii="Arial" w:hAnsi="Arial"/>
          <w:sz w:val="22"/>
        </w:rPr>
        <w:t xml:space="preserve">[8]. Local delivery of cell surface-targeted immunocytokines programs …. https://www.nature.com/articles/s41590-024-01925-7</w:t>
      </w:r>
    </w:p>
    <w:p>
      <w:pPr>
        <w:pStyle w:val="Compact"/>
        <w:numPr>
          <w:ilvl w:val="0"/>
          <w:numId w:val="1020"/>
        </w:numPr>
      </w:pPr>
      <w:r>
        <w:rPr>
          <w:rFonts w:ascii="Arial" w:hAnsi="Arial"/>
          <w:sz w:val="22"/>
        </w:rPr>
        <w:t xml:space="preserve">[9]. Cytokine release syndrome and associated neurotoxicity in cancer …. https://www.nature.com/articles/s41577-021-00547-6</w:t>
      </w:r>
    </w:p>
    <w:p>
      <w:pPr>
        <w:pStyle w:val="Compact"/>
        <w:numPr>
          <w:ilvl w:val="0"/>
          <w:numId w:val="1020"/>
        </w:numPr>
      </w:pPr>
      <w:r>
        <w:rPr>
          <w:rFonts w:ascii="Arial" w:hAnsi="Arial"/>
          <w:sz w:val="22"/>
        </w:rPr>
        <w:t xml:space="preserve">[10]. 2024 FDA approvals. https://www.nature.com/articles/d41573-025-00001-5</w:t>
      </w:r>
    </w:p>
    <w:p>
      <w:pPr>
        <w:pStyle w:val="Compact"/>
        <w:numPr>
          <w:ilvl w:val="0"/>
          <w:numId w:val="1020"/>
        </w:numPr>
      </w:pPr>
      <w:r>
        <w:rPr>
          <w:rFonts w:ascii="Arial" w:hAnsi="Arial"/>
          <w:sz w:val="22"/>
        </w:rPr>
        <w:t xml:space="preserve">[11]. A New Generation of Cytokine-Based Immunotherapy …. https://www.onclive.com/view/a-new-generation-of-cytokine-based-immunotherapy-takes-shape</w:t>
      </w:r>
    </w:p>
    <w:p>
      <w:pPr>
        <w:pStyle w:val="Compact"/>
        <w:numPr>
          <w:ilvl w:val="0"/>
          <w:numId w:val="1020"/>
        </w:numPr>
      </w:pPr>
      <w:r>
        <w:rPr>
          <w:rFonts w:ascii="Arial" w:hAnsi="Arial"/>
          <w:sz w:val="22"/>
        </w:rPr>
        <w:t xml:space="preserve">[12]. Highlights from ASCO June 2, 2025. https://www.sitcancer.org/blogs/thomas-martin/2025/06/03/highlights-from-asco-june-2-2025</w:t>
      </w:r>
    </w:p>
    <w:p>
      <w:pPr>
        <w:pStyle w:val="Compact"/>
        <w:numPr>
          <w:ilvl w:val="0"/>
          <w:numId w:val="1020"/>
        </w:numPr>
      </w:pPr>
      <w:r>
        <w:rPr>
          <w:rFonts w:ascii="Arial" w:hAnsi="Arial"/>
          <w:sz w:val="22"/>
        </w:rPr>
        <w:t xml:space="preserve">[13]. Bempeg Failure Unlikely to Affect Other IL2 Drugs. https://pubmed.ncbi.nlm.nih.gov/35553619/</w:t>
      </w:r>
    </w:p>
    <w:p>
      <w:pPr>
        <w:pStyle w:val="Compact"/>
        <w:numPr>
          <w:ilvl w:val="0"/>
          <w:numId w:val="1020"/>
        </w:numPr>
      </w:pPr>
      <w:r>
        <w:rPr>
          <w:rFonts w:ascii="Arial" w:hAnsi="Arial"/>
          <w:sz w:val="22"/>
        </w:rPr>
        <w:t xml:space="preserve">[14]. Nemvaleukin Fails to Show OS Benefit Over … - OncLive. https://www.onclive.com/view/nemvaleukin-fails-to-show-os-benefit-over-chemotherapy-in-platinum-resistant-ovarian-cancer</w:t>
      </w:r>
    </w:p>
    <w:p>
      <w:pPr>
        <w:pStyle w:val="Compact"/>
        <w:numPr>
          <w:ilvl w:val="0"/>
          <w:numId w:val="1020"/>
        </w:numPr>
      </w:pPr>
      <w:r>
        <w:rPr>
          <w:rFonts w:ascii="Arial" w:hAnsi="Arial"/>
          <w:sz w:val="22"/>
        </w:rPr>
        <w:t xml:space="preserve">[15]. I-Mab Provides Business and Corporate Updates and …. https://www.i-mabbiopharma.com/node/8956/pdf</w:t>
      </w:r>
    </w:p>
    <w:p>
      <w:pPr>
        <w:pStyle w:val="Compact"/>
        <w:numPr>
          <w:ilvl w:val="0"/>
          <w:numId w:val="1020"/>
        </w:numPr>
      </w:pPr>
      <w:r>
        <w:rPr>
          <w:rFonts w:ascii="Arial" w:hAnsi="Arial"/>
          <w:sz w:val="22"/>
        </w:rPr>
        <w:t xml:space="preserve">[16]. Cancer | European Medicines Agency (EMA). https://www.ema.europa.eu/en/medicines/therapeutic-areas-latest-updates/cancer</w:t>
      </w:r>
    </w:p>
    <w:p>
      <w:pPr>
        <w:pStyle w:val="Compact"/>
        <w:numPr>
          <w:ilvl w:val="0"/>
          <w:numId w:val="1020"/>
        </w:numPr>
      </w:pPr>
      <w:r>
        <w:rPr>
          <w:rFonts w:ascii="Arial" w:hAnsi="Arial"/>
          <w:sz w:val="22"/>
        </w:rPr>
        <w:t xml:space="preserve">[17]. Continued cancer drug approvals in Japan and Europe after …. https://pmc.ncbi.nlm.nih.gov/articles/PMC11236735/</w:t>
      </w:r>
    </w:p>
    <w:p>
      <w:pPr>
        <w:pStyle w:val="Compact"/>
        <w:numPr>
          <w:ilvl w:val="0"/>
          <w:numId w:val="1020"/>
        </w:numPr>
      </w:pPr>
      <w:r>
        <w:rPr>
          <w:rFonts w:ascii="Arial" w:hAnsi="Arial"/>
          <w:sz w:val="22"/>
        </w:rPr>
        <w:t xml:space="preserve">[18]. Gilead pays $43.5M for early-phase IL-12 prospect from Xilio as biotech reduces head count. https://www.fiercebiotech.com/biotech/gilead-pays-435m-xilios-early-phase-il-12-prospect-entering-race-after-rivals-exit</w:t>
      </w:r>
    </w:p>
    <w:p>
      <w:pPr>
        <w:pStyle w:val="Compact"/>
        <w:numPr>
          <w:ilvl w:val="0"/>
          <w:numId w:val="1020"/>
        </w:numPr>
      </w:pPr>
      <w:r>
        <w:rPr>
          <w:rFonts w:ascii="Arial" w:hAnsi="Arial"/>
          <w:sz w:val="22"/>
        </w:rPr>
        <w:t xml:space="preserve">[19]. Partnership for first-in-class cancer and CRM treatments. https://www.boehringer-ingelheim.com/science-innovation/human-health-innovation/partnership-first-class-cancer-and-crm-treatments</w:t>
      </w:r>
    </w:p>
    <w:p>
      <w:pPr>
        <w:pStyle w:val="Compact"/>
        <w:numPr>
          <w:ilvl w:val="0"/>
          <w:numId w:val="1020"/>
        </w:numPr>
      </w:pPr>
      <w:r>
        <w:rPr>
          <w:rFonts w:ascii="Arial" w:hAnsi="Arial"/>
          <w:sz w:val="22"/>
        </w:rPr>
        <w:t xml:space="preserve">[20]. Roche drops HER2 bispecific, Xencor-partnered cytokine from early-phase pipeline. https://www.fiercebiotech.com/biotech/roche-drops-her2-bispecific-xencor-partnered-cytokine-early-phase-pipeline</w:t>
      </w:r>
    </w:p>
    <w:p>
      <w:pPr>
        <w:pStyle w:val="Compact"/>
        <w:numPr>
          <w:ilvl w:val="0"/>
          <w:numId w:val="1020"/>
        </w:numPr>
      </w:pPr>
      <w:r>
        <w:rPr>
          <w:rFonts w:ascii="Arial" w:hAnsi="Arial"/>
          <w:sz w:val="22"/>
        </w:rPr>
        <w:t xml:space="preserve">[21]. All Eyes Are on IL-15 in Early Phase Studies. https://www.onclive.com/view/all-eyes-are-on-il-15-in-early-phase-studies</w:t>
      </w:r>
    </w:p>
    <w:p>
      <w:pPr>
        <w:pStyle w:val="Compact"/>
        <w:numPr>
          <w:ilvl w:val="0"/>
          <w:numId w:val="1020"/>
        </w:numPr>
      </w:pPr>
      <w:r>
        <w:rPr>
          <w:rFonts w:ascii="Arial" w:hAnsi="Arial"/>
          <w:sz w:val="22"/>
        </w:rPr>
        <w:t xml:space="preserve">[22]. Classification of anticancer drugs: an update with FDA- and EMA-approved drugs. https://www.springermedizin.de/classification-of-anticancer-drugs-an-update-with-fda-and-ema-ap/27312776</w:t>
      </w:r>
    </w:p>
    <w:p>
      <w:pPr>
        <w:pStyle w:val="Compact"/>
        <w:numPr>
          <w:ilvl w:val="0"/>
          <w:numId w:val="1020"/>
        </w:numPr>
      </w:pPr>
      <w:r>
        <w:rPr>
          <w:rFonts w:ascii="Arial" w:hAnsi="Arial"/>
          <w:sz w:val="22"/>
        </w:rPr>
        <w:t xml:space="preserve">[23]. Novel il2 agonists and methods of use thereof. https://patents.google.com/patent/WO2021127487A2/en</w:t>
      </w:r>
    </w:p>
    <w:p>
      <w:pPr>
        <w:pStyle w:val="Compact"/>
        <w:numPr>
          <w:ilvl w:val="0"/>
          <w:numId w:val="1020"/>
        </w:numPr>
      </w:pPr>
      <w:r>
        <w:rPr>
          <w:rFonts w:ascii="Arial" w:hAnsi="Arial"/>
          <w:sz w:val="22"/>
        </w:rPr>
        <w:t xml:space="preserve">[24]. Masked il-2 cytokines and their cleavage products. https://patents.google.com/patent/WO2021202675A1/en</w:t>
      </w:r>
    </w:p>
    <w:p>
      <w:pPr>
        <w:pStyle w:val="Compact"/>
        <w:numPr>
          <w:ilvl w:val="0"/>
          <w:numId w:val="1020"/>
        </w:numPr>
      </w:pPr>
      <w:r>
        <w:rPr>
          <w:rFonts w:ascii="Arial" w:hAnsi="Arial"/>
          <w:sz w:val="22"/>
        </w:rPr>
        <w:t xml:space="preserve">[25]. Il2 orthologs and methods of use. https://patents.google.com/patent/WO2021146487A2/en</w:t>
      </w:r>
    </w:p>
    <w:p>
      <w:pPr>
        <w:pStyle w:val="Compact"/>
        <w:numPr>
          <w:ilvl w:val="0"/>
          <w:numId w:val="1020"/>
        </w:numPr>
      </w:pPr>
      <w:r>
        <w:rPr>
          <w:rFonts w:ascii="Arial" w:hAnsi="Arial"/>
          <w:sz w:val="22"/>
        </w:rPr>
        <w:t xml:space="preserve">[26]. Novel interleukin-15 (il-15) fusion proteins and uses thereof. https://patents.google.com/patent/WO2021119429A1/en</w:t>
      </w:r>
    </w:p>
    <w:p>
      <w:pPr>
        <w:pStyle w:val="Compact"/>
        <w:numPr>
          <w:ilvl w:val="0"/>
          <w:numId w:val="1020"/>
        </w:numPr>
      </w:pPr>
      <w:r>
        <w:rPr>
          <w:rFonts w:ascii="Arial" w:hAnsi="Arial"/>
          <w:sz w:val="22"/>
        </w:rPr>
        <w:t xml:space="preserve">[27]. Interleukin-15 based immunocytokines. https://patents.google.com/patent/WO2022268983A2/en</w:t>
      </w:r>
    </w:p>
    <w:p>
      <w:pPr>
        <w:pStyle w:val="Compact"/>
        <w:numPr>
          <w:ilvl w:val="0"/>
          <w:numId w:val="1020"/>
        </w:numPr>
      </w:pPr>
      <w:r>
        <w:rPr>
          <w:rFonts w:ascii="Arial" w:hAnsi="Arial"/>
          <w:sz w:val="22"/>
        </w:rPr>
        <w:t xml:space="preserve">[28]. Interleukin 15 variants. https://patents.google.com/patent/WO2022268991A1/en</w:t>
      </w:r>
    </w:p>
    <w:p>
      <w:pPr>
        <w:pStyle w:val="Compact"/>
        <w:numPr>
          <w:ilvl w:val="0"/>
          <w:numId w:val="1020"/>
        </w:numPr>
      </w:pPr>
      <w:r>
        <w:rPr>
          <w:rFonts w:ascii="Arial" w:hAnsi="Arial"/>
          <w:sz w:val="22"/>
        </w:rPr>
        <w:t xml:space="preserve">[29]. Masked il-12 cytokines and their cleavage products. https://patents.google.com/patent/WO2021202678A1/en</w:t>
      </w:r>
    </w:p>
    <w:p>
      <w:pPr>
        <w:pStyle w:val="Compact"/>
        <w:numPr>
          <w:ilvl w:val="0"/>
          <w:numId w:val="1020"/>
        </w:numPr>
      </w:pPr>
      <w:r>
        <w:rPr>
          <w:rFonts w:ascii="Arial" w:hAnsi="Arial"/>
          <w:sz w:val="22"/>
        </w:rPr>
        <w:t xml:space="preserve">[30]. Dual cytokine fusion proteins comprising multi-subunit cytokines. https://patents.google.com/patent/WO2023114775A2/en</w:t>
      </w:r>
    </w:p>
    <w:p>
      <w:pPr>
        <w:pStyle w:val="Compact"/>
        <w:numPr>
          <w:ilvl w:val="0"/>
          <w:numId w:val="1020"/>
        </w:numPr>
      </w:pPr>
      <w:r>
        <w:rPr>
          <w:rFonts w:ascii="Arial" w:hAnsi="Arial"/>
          <w:sz w:val="22"/>
        </w:rPr>
        <w:t xml:space="preserve">[31]. Engineered il-12 and il-23 polypeptides and uses thereof. https://patents.google.com/patent/WO2021212083A2/en</w:t>
      </w:r>
    </w:p>
    <w:p>
      <w:pPr>
        <w:pStyle w:val="Compact"/>
        <w:numPr>
          <w:ilvl w:val="0"/>
          <w:numId w:val="1020"/>
        </w:numPr>
      </w:pPr>
      <w:r>
        <w:rPr>
          <w:rFonts w:ascii="Arial" w:hAnsi="Arial"/>
          <w:sz w:val="22"/>
        </w:rPr>
        <w:t xml:space="preserve">[32]. Bi-functional linear fusion collagen-localized immunomodulatory molecules and …. https://patents.google.com/patent/WO2022133326A1/en</w:t>
      </w:r>
    </w:p>
    <w:p>
      <w:pPr>
        <w:pStyle w:val="Compact"/>
        <w:numPr>
          <w:ilvl w:val="0"/>
          <w:numId w:val="1020"/>
        </w:numPr>
      </w:pPr>
      <w:r>
        <w:rPr>
          <w:rFonts w:ascii="Arial" w:hAnsi="Arial"/>
          <w:sz w:val="22"/>
        </w:rPr>
        <w:t xml:space="preserve">[33]. Il-2/il-15rbetagamma agonist combination with antibody-drug conjugates for …. https://patents.google.com/patent/WO2023017191A1/en</w:t>
      </w:r>
    </w:p>
    <w:p>
      <w:pPr>
        <w:pStyle w:val="Compact"/>
        <w:numPr>
          <w:ilvl w:val="0"/>
          <w:numId w:val="1020"/>
        </w:numPr>
      </w:pPr>
      <w:r>
        <w:rPr>
          <w:rFonts w:ascii="Arial" w:hAnsi="Arial"/>
          <w:sz w:val="22"/>
        </w:rPr>
        <w:t xml:space="preserve">[34]. Biased il2 muteins methods and compositions. https://patents.google.com/patent/WO2021146436A2/en</w:t>
      </w:r>
    </w:p>
    <w:p>
      <w:pPr>
        <w:pStyle w:val="Compact"/>
        <w:numPr>
          <w:ilvl w:val="0"/>
          <w:numId w:val="1020"/>
        </w:numPr>
      </w:pPr>
      <w:r>
        <w:rPr>
          <w:rFonts w:ascii="Arial" w:hAnsi="Arial"/>
          <w:sz w:val="22"/>
        </w:rPr>
        <w:t xml:space="preserve">[35]. Intertumoral and intratumoral delivery of cytokines using mesoporous silica …. https://patents.google.com/patent/WO2024148364A1/en</w:t>
      </w:r>
    </w:p>
    <w:p>
      <w:pPr>
        <w:pStyle w:val="Compact"/>
        <w:numPr>
          <w:ilvl w:val="0"/>
          <w:numId w:val="1020"/>
        </w:numPr>
      </w:pPr>
      <w:r>
        <w:rPr>
          <w:rFonts w:ascii="Arial" w:hAnsi="Arial"/>
          <w:sz w:val="22"/>
        </w:rPr>
        <w:t xml:space="preserve">[36]. Cell-surface anchored cytokine therapy. https://patents.google.com/patent/WO2025080338A1/en</w:t>
      </w:r>
    </w:p>
    <w:p>
      <w:pPr>
        <w:pStyle w:val="Compact"/>
        <w:numPr>
          <w:ilvl w:val="0"/>
          <w:numId w:val="1020"/>
        </w:numPr>
      </w:pPr>
      <w:r>
        <w:rPr>
          <w:rFonts w:ascii="Arial" w:hAnsi="Arial"/>
          <w:sz w:val="22"/>
        </w:rPr>
        <w:t xml:space="preserve">[37]. Compositions and methods comprising protease-activated therapeutic agents. https://patents.google.com/patent/WO2022236292A2/en</w:t>
      </w:r>
    </w:p>
    <w:bookmarkEnd w:id="48"/>
    <w:sectPr>
      <w:headerReference w:type="default" r:id="rId19"/>
      <w:footerReference w:type="default" r:id="rId25"/>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NOAH AI-AI Agent Specialized in Life Science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77824" cy="204954"/>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77824" cy="204954"/>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hyperlink" Target="https://patents.google.com/patent/WO2021119429A1/en" TargetMode="External"/><Relationship Id="rId23" Type="http://schemas.openxmlformats.org/officeDocument/2006/relationships/hyperlink" Target="https://patents.google.com/patent/WO2021127487A2/en" TargetMode="External"/><Relationship Id="rId24" Type="http://schemas.openxmlformats.org/officeDocument/2006/relationships/hyperlink" Target="https://patents.google.com/patent/WO2021146487A2/en" TargetMode="External"/><Relationship Id="rId15" Type="http://schemas.openxmlformats.org/officeDocument/2006/relationships/hyperlink" Target="https://patents.google.com/patent/WO2021202675A1/en" TargetMode="External"/><Relationship Id="rId16" Type="http://schemas.openxmlformats.org/officeDocument/2006/relationships/hyperlink" Target="https://patents.google.com/patent/WO2021202678A1/en" TargetMode="External"/><Relationship Id="rId34" Type="http://schemas.openxmlformats.org/officeDocument/2006/relationships/hyperlink" Target="https://patents.google.com/patent/WO2022133326A1/en" TargetMode="External"/><Relationship Id="rId30" Type="http://schemas.openxmlformats.org/officeDocument/2006/relationships/hyperlink" Target="https://patents.google.com/patent/WO2022268983A2/en" TargetMode="External"/><Relationship Id="rId31" Type="http://schemas.openxmlformats.org/officeDocument/2006/relationships/hyperlink" Target="https://patents.google.com/patent/WO2022268991A1/en" TargetMode="External"/><Relationship Id="rId33" Type="http://schemas.openxmlformats.org/officeDocument/2006/relationships/hyperlink" Target="https://patents.google.com/patent/WO2023114775A2/en" TargetMode="External"/><Relationship Id="rId44" Type="http://schemas.openxmlformats.org/officeDocument/2006/relationships/hyperlink" Target="https://patents.google.com/patent/WO2024148364A1/en" TargetMode="External"/><Relationship Id="rId10" Type="http://schemas.openxmlformats.org/officeDocument/2006/relationships/hyperlink" Target="https://pubmed.ncbi.nlm.nih.gov/35553619/" TargetMode="External"/><Relationship Id="rId22" Type="http://schemas.openxmlformats.org/officeDocument/2006/relationships/hyperlink" Target="https://www.fiercebiotech.com/biotech/gilead-pays-435m-xilios-early-phase-il-12-prospect-entering-race-after-rivals-exit" TargetMode="External"/><Relationship Id="rId27" Type="http://schemas.openxmlformats.org/officeDocument/2006/relationships/hyperlink" Target="https://www.fiercebiotech.com/biotech/roche-drops-her2-bispecific-xencor-partnered-cytokine-early-phase-pipeline" TargetMode="External"/><Relationship Id="rId36" Type="http://schemas.openxmlformats.org/officeDocument/2006/relationships/hyperlink" Target="https://www.i-mabbiopharma.com/node/8956/pdf" TargetMode="External"/><Relationship Id="rId17" Type="http://schemas.openxmlformats.org/officeDocument/2006/relationships/hyperlink" Target="https://www.nature.com/articles/d41573-025-00001-5" TargetMode="External"/><Relationship Id="rId12" Type="http://schemas.openxmlformats.org/officeDocument/2006/relationships/hyperlink" Target="https://www.nature.com/articles/s41392-024-01868-3" TargetMode="External"/><Relationship Id="rId40" Type="http://schemas.openxmlformats.org/officeDocument/2006/relationships/hyperlink" Target="https://www.nature.com/articles/s41577-021-00547-6" TargetMode="External"/><Relationship Id="rId13" Type="http://schemas.openxmlformats.org/officeDocument/2006/relationships/hyperlink" Target="https://www.nature.com/articles/s41590-024-01925-7" TargetMode="External"/><Relationship Id="rId9" Type="http://schemas.openxmlformats.org/officeDocument/2006/relationships/hyperlink" Target="https://www.ncbi.nlm.nih.gov/books/NBK536923/" TargetMode="External"/><Relationship Id="rId45" Type="http://schemas.openxmlformats.org/officeDocument/2006/relationships/hyperlink" Target="https://www.noahai.co/tool/clinical-result/?search_param=%7B%22indication_name%22%3A%20%5B%22Leukemia%22%2C%20%22Lymphoma%22%2C%20%22Renal%20cell%20carcinoma%22%2C%20%22Melanoma%22%2C%20%22Non-small-cell%20lung%20cancer%22%5D%2C%20%22phase%22%3A%20%5B%22Preclinical%22%2C%20%22I%22%2C%20%22II%22%2C%20%22III%22%2C%20%22IV%22%2C%20%22Others%22%5D%2C%20%22top_n%22%3A%20150%7D" TargetMode="External"/><Relationship Id="rId21" Type="http://schemas.openxmlformats.org/officeDocument/2006/relationships/hyperlink" Target="https://www.noahai.co/tool/drug-compete/?search_param=%7B%22indication_name%22%3A%20%5B%22Hepatic%20cancer%22%2C%20%22Diffuse%20large%20B-cell%20lymphoma%22%2C%20%22Squamous%20cell%20breast%20carcinoma%22%2C%20%22Bladder%20cancer%22%2C%20%22Skin%20neoplasms%20malignant%20and%20unspecified%20%28excl%20melanoma%29%22%5D%2C%20%22phase%22%3A%20%5B%22Preclinical%22%2C%20%22IND%22%2C%20%22I%22%2C%20%22II%22%2C%20%22III%22%2C%20%22BLA%2FNDA%22%5D%2C%20%22drug_modality%22%3A%20%7B%22data%22%3A%20%5B%22Polypeptide%22%2C%20%22Recombinant%20Proteins%22%5D%2C%20%22logic%22%3A%20%22or%22%7D%2C%20%22drug_feature%22%3A%20%7B%22data%22%3A%20%5B%22Immuno-Oncology%22%2C%20%22Biosimilar%22%2C%20%22Biologic%22%5D%2C%20%22logic%22%3A%20%22or%22%7D%2C%20%22location%22%3A%20%5B%22USA%22%2C%20%22China%22%5D%2C%20%22top_n%22%3A%202000%7D" TargetMode="External"/><Relationship Id="rId26" Type="http://schemas.openxmlformats.org/officeDocument/2006/relationships/hyperlink" Target="https://www.onclive.com/view/a-new-generation-of-cytokine-based-immunotherapy-takes-shape" TargetMode="External"/><Relationship Id="rId11" Type="http://schemas.openxmlformats.org/officeDocument/2006/relationships/hyperlink" Target="https://www.onclive.com/view/nemvaleukin-fails-to-show-os-benefit-over-chemotherapy-in-platinum-resistant-ovarian-cancer" TargetMode="External"/><Relationship Id="rId43" Type="http://schemas.openxmlformats.org/officeDocument/2006/relationships/hyperlink" Target="https://www.sciencedirect.com/science/article/abs/pii/S1471491425000103" TargetMode="External"/><Relationship Id="rId20" Type="http://schemas.openxmlformats.org/officeDocument/2006/relationships/hyperlink" Target="https://www.sciencedirect.com/science/article/pii/S2211124722013286" TargetMode="External"/><Relationship Id="rId14" Type="http://schemas.openxmlformats.org/officeDocument/2006/relationships/hyperlink" Target="https://www.sciencedirect.com/science/article/pii/S2211383524003149" TargetMode="External"/><Relationship Id="rId28" Type="http://schemas.openxmlformats.org/officeDocument/2006/relationships/hyperlink" Target="https://www.sitcancer.org/blogs/thomas-martin/2025/06/03/highlights-from-asco-june-2-2025" TargetMode="External"/><Relationship Id="rId18" Type="http://schemas.openxmlformats.org/officeDocument/2006/relationships/hyperlink" Target="https://www.springermedizin.de/classification-of-anticancer-drugs-an-update-with-fda-and-ema-ap/27312776" TargetMode="External"/><Relationship Id="rId19" Type="http://schemas.openxmlformats.org/officeDocument/2006/relationships/header" Target="header1.xml"/><Relationship Id="rId25" Type="http://schemas.openxmlformats.org/officeDocument/2006/relationships/footer" Target="footer1.xml"/></Relationships>
</file>

<file path=word/_rels/footnotes.xml.rels><?xml version='1.0' encoding='UTF-8' standalone='yes'?>
<Relationships xmlns="http://schemas.openxmlformats.org/package/2006/relationships"><Relationship Id="rId29" Type="http://schemas.openxmlformats.org/officeDocument/2006/relationships/hyperlink" Target="https://patents.google.com/patent/WO2021119429A1/en" TargetMode="External"/><Relationship Id="rId23" Type="http://schemas.openxmlformats.org/officeDocument/2006/relationships/hyperlink" Target="https://patents.google.com/patent/WO2021127487A2/en" TargetMode="External"/><Relationship Id="rId24" Type="http://schemas.openxmlformats.org/officeDocument/2006/relationships/hyperlink" Target="https://patents.google.com/patent/WO2021146487A2/en" TargetMode="External"/><Relationship Id="rId15" Type="http://schemas.openxmlformats.org/officeDocument/2006/relationships/hyperlink" Target="https://patents.google.com/patent/WO2021202675A1/en" TargetMode="External"/><Relationship Id="rId16" Type="http://schemas.openxmlformats.org/officeDocument/2006/relationships/hyperlink" Target="https://patents.google.com/patent/WO2021202678A1/en" TargetMode="External"/><Relationship Id="rId34" Type="http://schemas.openxmlformats.org/officeDocument/2006/relationships/hyperlink" Target="https://patents.google.com/patent/WO2022133326A1/en" TargetMode="External"/><Relationship Id="rId30" Type="http://schemas.openxmlformats.org/officeDocument/2006/relationships/hyperlink" Target="https://patents.google.com/patent/WO2022268983A2/en" TargetMode="External"/><Relationship Id="rId31" Type="http://schemas.openxmlformats.org/officeDocument/2006/relationships/hyperlink" Target="https://patents.google.com/patent/WO2022268991A1/en" TargetMode="External"/><Relationship Id="rId33" Type="http://schemas.openxmlformats.org/officeDocument/2006/relationships/hyperlink" Target="https://patents.google.com/patent/WO2023114775A2/en" TargetMode="External"/><Relationship Id="rId44" Type="http://schemas.openxmlformats.org/officeDocument/2006/relationships/hyperlink" Target="https://patents.google.com/patent/WO2024148364A1/en" TargetMode="External"/><Relationship Id="rId10" Type="http://schemas.openxmlformats.org/officeDocument/2006/relationships/hyperlink" Target="https://pubmed.ncbi.nlm.nih.gov/35553619/" TargetMode="External"/><Relationship Id="rId22" Type="http://schemas.openxmlformats.org/officeDocument/2006/relationships/hyperlink" Target="https://www.fiercebiotech.com/biotech/gilead-pays-435m-xilios-early-phase-il-12-prospect-entering-race-after-rivals-exit" TargetMode="External"/><Relationship Id="rId27" Type="http://schemas.openxmlformats.org/officeDocument/2006/relationships/hyperlink" Target="https://www.fiercebiotech.com/biotech/roche-drops-her2-bispecific-xencor-partnered-cytokine-early-phase-pipeline" TargetMode="External"/><Relationship Id="rId36" Type="http://schemas.openxmlformats.org/officeDocument/2006/relationships/hyperlink" Target="https://www.i-mabbiopharma.com/node/8956/pdf" TargetMode="External"/><Relationship Id="rId17" Type="http://schemas.openxmlformats.org/officeDocument/2006/relationships/hyperlink" Target="https://www.nature.com/articles/d41573-025-00001-5" TargetMode="External"/><Relationship Id="rId12" Type="http://schemas.openxmlformats.org/officeDocument/2006/relationships/hyperlink" Target="https://www.nature.com/articles/s41392-024-01868-3" TargetMode="External"/><Relationship Id="rId40" Type="http://schemas.openxmlformats.org/officeDocument/2006/relationships/hyperlink" Target="https://www.nature.com/articles/s41577-021-00547-6" TargetMode="External"/><Relationship Id="rId13" Type="http://schemas.openxmlformats.org/officeDocument/2006/relationships/hyperlink" Target="https://www.nature.com/articles/s41590-024-01925-7" TargetMode="External"/><Relationship Id="rId9" Type="http://schemas.openxmlformats.org/officeDocument/2006/relationships/hyperlink" Target="https://www.ncbi.nlm.nih.gov/books/NBK536923/" TargetMode="External"/><Relationship Id="rId45" Type="http://schemas.openxmlformats.org/officeDocument/2006/relationships/hyperlink" Target="https://www.noahai.co/tool/clinical-result/?search_param=%7B%22indication_name%22%3A%20%5B%22Leukemia%22%2C%20%22Lymphoma%22%2C%20%22Renal%20cell%20carcinoma%22%2C%20%22Melanoma%22%2C%20%22Non-small-cell%20lung%20cancer%22%5D%2C%20%22phase%22%3A%20%5B%22Preclinical%22%2C%20%22I%22%2C%20%22II%22%2C%20%22III%22%2C%20%22IV%22%2C%20%22Others%22%5D%2C%20%22top_n%22%3A%20150%7D" TargetMode="External"/><Relationship Id="rId21" Type="http://schemas.openxmlformats.org/officeDocument/2006/relationships/hyperlink" Target="https://www.noahai.co/tool/drug-compete/?search_param=%7B%22indication_name%22%3A%20%5B%22Hepatic%20cancer%22%2C%20%22Diffuse%20large%20B-cell%20lymphoma%22%2C%20%22Squamous%20cell%20breast%20carcinoma%22%2C%20%22Bladder%20cancer%22%2C%20%22Skin%20neoplasms%20malignant%20and%20unspecified%20%28excl%20melanoma%29%22%5D%2C%20%22phase%22%3A%20%5B%22Preclinical%22%2C%20%22IND%22%2C%20%22I%22%2C%20%22II%22%2C%20%22III%22%2C%20%22BLA%2FNDA%22%5D%2C%20%22drug_modality%22%3A%20%7B%22data%22%3A%20%5B%22Polypeptide%22%2C%20%22Recombinant%20Proteins%22%5D%2C%20%22logic%22%3A%20%22or%22%7D%2C%20%22drug_feature%22%3A%20%7B%22data%22%3A%20%5B%22Immuno-Oncology%22%2C%20%22Biosimilar%22%2C%20%22Biologic%22%5D%2C%20%22logic%22%3A%20%22or%22%7D%2C%20%22location%22%3A%20%5B%22USA%22%2C%20%22China%22%5D%2C%20%22top_n%22%3A%202000%7D" TargetMode="External"/><Relationship Id="rId26" Type="http://schemas.openxmlformats.org/officeDocument/2006/relationships/hyperlink" Target="https://www.onclive.com/view/a-new-generation-of-cytokine-based-immunotherapy-takes-shape" TargetMode="External"/><Relationship Id="rId11" Type="http://schemas.openxmlformats.org/officeDocument/2006/relationships/hyperlink" Target="https://www.onclive.com/view/nemvaleukin-fails-to-show-os-benefit-over-chemotherapy-in-platinum-resistant-ovarian-cancer" TargetMode="External"/><Relationship Id="rId43" Type="http://schemas.openxmlformats.org/officeDocument/2006/relationships/hyperlink" Target="https://www.sciencedirect.com/science/article/abs/pii/S1471491425000103" TargetMode="External"/><Relationship Id="rId20" Type="http://schemas.openxmlformats.org/officeDocument/2006/relationships/hyperlink" Target="https://www.sciencedirect.com/science/article/pii/S2211124722013286" TargetMode="External"/><Relationship Id="rId14" Type="http://schemas.openxmlformats.org/officeDocument/2006/relationships/hyperlink" Target="https://www.sciencedirect.com/science/article/pii/S2211383524003149" TargetMode="External"/><Relationship Id="rId28" Type="http://schemas.openxmlformats.org/officeDocument/2006/relationships/hyperlink" Target="https://www.sitcancer.org/blogs/thomas-martin/2025/06/03/highlights-from-asco-june-2-2025" TargetMode="External"/><Relationship Id="rId18" Type="http://schemas.openxmlformats.org/officeDocument/2006/relationships/hyperlink" Target="https://www.springermedizin.de/classification-of-anticancer-drugs-an-update-with-fda-and-ema-ap/2731277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2026-01-08T04:52:32Z</dcterms:created>
  <dcterms:modified xsi:type="dcterms:W3CDTF">2026-01-08T04:52:32Z</dcterms:modified>
</cp:coreProperties>
</file>

<file path=docProps/custom.xml><?xml version="1.0" encoding="utf-8"?>
<Properties xmlns="http://schemas.openxmlformats.org/officeDocument/2006/custom-properties" xmlns:vt="http://schemas.openxmlformats.org/officeDocument/2006/docPropsVTypes"/>
</file>