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4A2F1" w14:textId="77777777" w:rsidR="005E10E0" w:rsidRPr="005E10E0" w:rsidRDefault="005E10E0" w:rsidP="005E10E0">
      <w:r w:rsidRPr="005E10E0">
        <w:t>The plan is complete and ready for final summarization to produce a professional research report covering all collected data on colon cancer immunotherapy, including modalities, regulatory status, clinical evidence, biomarkers, and outlook.</w:t>
      </w:r>
    </w:p>
    <w:p w14:paraId="70CBBDC2" w14:textId="77777777" w:rsidR="005E10E0" w:rsidRPr="005E10E0" w:rsidRDefault="005E10E0" w:rsidP="005E10E0">
      <w:r w:rsidRPr="005E10E0">
        <w:rPr>
          <w:b/>
          <w:bCs/>
        </w:rPr>
        <w:t>Current Date: 2025-10-02</w:t>
      </w:r>
    </w:p>
    <w:p w14:paraId="533B9CE2" w14:textId="77777777" w:rsidR="005E10E0" w:rsidRPr="005E10E0" w:rsidRDefault="005E10E0" w:rsidP="005E10E0">
      <w:pPr>
        <w:rPr>
          <w:b/>
          <w:bCs/>
        </w:rPr>
      </w:pPr>
      <w:r w:rsidRPr="005E10E0">
        <w:rPr>
          <w:b/>
          <w:bCs/>
        </w:rPr>
        <w:t>Comprehensive Overview of the Colon Cancer Immunotherapy Landscape</w:t>
      </w:r>
    </w:p>
    <w:p w14:paraId="30FE6909" w14:textId="77777777" w:rsidR="005E10E0" w:rsidRPr="005E10E0" w:rsidRDefault="005E10E0" w:rsidP="005E10E0">
      <w:r w:rsidRPr="005E10E0">
        <w:t>This report provides a comprehensive overview of the immunotherapy landscape for colorectal cancer (CRC) in the United States (US) and European Union (EU) markets. It details approved products, the clinical-stage pipeline, and the forward-looking outlook for the next 2–3 years, with in-depth analysis of therapeutic modalities, mechanisms of action, combination strategies, and biomarker considerations.</w:t>
      </w:r>
    </w:p>
    <w:p w14:paraId="2B105D6E" w14:textId="77777777" w:rsidR="005E10E0" w:rsidRPr="005E10E0" w:rsidRDefault="005E10E0" w:rsidP="005E10E0">
      <w:r w:rsidRPr="005E10E0">
        <w:pict w14:anchorId="7D1BFA77">
          <v:rect id="_x0000_i1031" style="width:0;height:0" o:hralign="center" o:hrstd="t" o:hr="t" fillcolor="#a0a0a0" stroked="f"/>
        </w:pict>
      </w:r>
    </w:p>
    <w:p w14:paraId="2DDD12AA" w14:textId="77777777" w:rsidR="005E10E0" w:rsidRPr="005E10E0" w:rsidRDefault="005E10E0" w:rsidP="005E10E0">
      <w:pPr>
        <w:rPr>
          <w:b/>
          <w:bCs/>
        </w:rPr>
      </w:pPr>
      <w:r w:rsidRPr="005E10E0">
        <w:rPr>
          <w:b/>
          <w:bCs/>
        </w:rPr>
        <w:t>Executive Summary</w:t>
      </w:r>
    </w:p>
    <w:p w14:paraId="1521C519" w14:textId="77777777" w:rsidR="005E10E0" w:rsidRPr="005E10E0" w:rsidRDefault="005E10E0" w:rsidP="005E10E0">
      <w:r w:rsidRPr="005E10E0">
        <w:t>The colorectal cancer immunotherapy landscape is characterized by a distinct dichotomy. For the ~5% of patients with metastatic CRC (mCRC) whose tumors are mismatch repair deficient (</w:t>
      </w:r>
      <w:proofErr w:type="spellStart"/>
      <w:r w:rsidRPr="005E10E0">
        <w:t>dMMR</w:t>
      </w:r>
      <w:proofErr w:type="spellEnd"/>
      <w:r w:rsidRPr="005E10E0">
        <w:t xml:space="preserve">) or microsatellite instability-high (MSI-H), immune checkpoint inhibitors (ICIs) have become the standard of care, displacing chemotherapy in the first-line setting. For the remaining 95% of patients with </w:t>
      </w:r>
      <w:proofErr w:type="gramStart"/>
      <w:r w:rsidRPr="005E10E0">
        <w:t>microsatellite stable</w:t>
      </w:r>
      <w:proofErr w:type="gramEnd"/>
      <w:r w:rsidRPr="005E10E0">
        <w:t xml:space="preserve"> (MSS) tumors, which are traditionally "cold" and unresponsive to ICIs, the landscape is one of intense clinical investigation. A robust and diverse pipeline of novel modalities—including bispecific antibodies, CAR-T cells, cancer vaccines, and oncolytic viruses—is aggressively being pursued, primarily through innovative combination strategies, with the goal of unlocking immunotherapy for the broader CRC population. The next 2–3 years will be pivotal, with multiple late-stage trial readouts expected to shape the future treatment paradigm.</w:t>
      </w:r>
    </w:p>
    <w:p w14:paraId="4B93128B" w14:textId="77777777" w:rsidR="005E10E0" w:rsidRPr="005E10E0" w:rsidRDefault="005E10E0" w:rsidP="005E10E0">
      <w:pPr>
        <w:rPr>
          <w:b/>
          <w:bCs/>
        </w:rPr>
      </w:pPr>
      <w:r w:rsidRPr="005E10E0">
        <w:rPr>
          <w:b/>
          <w:bCs/>
        </w:rPr>
        <w:t>I. Approved Immunotherapy Landscape: The Era of Checkpoint Inhibition for MSI-H/</w:t>
      </w:r>
      <w:proofErr w:type="spellStart"/>
      <w:r w:rsidRPr="005E10E0">
        <w:rPr>
          <w:b/>
          <w:bCs/>
        </w:rPr>
        <w:t>dMMR</w:t>
      </w:r>
      <w:proofErr w:type="spellEnd"/>
      <w:r w:rsidRPr="005E10E0">
        <w:rPr>
          <w:b/>
          <w:bCs/>
        </w:rPr>
        <w:t xml:space="preserve"> CRC</w:t>
      </w:r>
    </w:p>
    <w:p w14:paraId="643B3CC1" w14:textId="77777777" w:rsidR="005E10E0" w:rsidRPr="005E10E0" w:rsidRDefault="005E10E0" w:rsidP="005E10E0">
      <w:r w:rsidRPr="005E10E0">
        <w:t>As of October 2025, regulatory approvals for immunotherapy in CRC are exclusively for immune checkpoint inhibitors and are strictly limited to the MSI-H/</w:t>
      </w:r>
      <w:proofErr w:type="spellStart"/>
      <w:r w:rsidRPr="005E10E0">
        <w:t>dMMR</w:t>
      </w:r>
      <w:proofErr w:type="spellEnd"/>
      <w:r w:rsidRPr="005E10E0">
        <w:t xml:space="preserve"> patient subpopulation. No CAR-T cell therapies, bispecific antibodies, or therapeutic cancer vaccines have secured FDA or EMA approval specifically for colorectal cancer [</w:t>
      </w:r>
      <w:hyperlink r:id="rId5" w:tgtFrame="_blank" w:history="1">
        <w:r w:rsidRPr="005E10E0">
          <w:rPr>
            <w:rStyle w:val="Hyperlink"/>
          </w:rPr>
          <w:t>3</w:t>
        </w:r>
      </w:hyperlink>
      <w:r w:rsidRPr="005E10E0">
        <w:t>].</w:t>
      </w:r>
    </w:p>
    <w:p w14:paraId="4F96A548" w14:textId="77777777" w:rsidR="005E10E0" w:rsidRPr="005E10E0" w:rsidRDefault="005E10E0" w:rsidP="005E10E0">
      <w:pPr>
        <w:rPr>
          <w:b/>
          <w:bCs/>
        </w:rPr>
      </w:pPr>
      <w:r w:rsidRPr="005E10E0">
        <w:rPr>
          <w:b/>
          <w:bCs/>
        </w:rPr>
        <w:t>Approved Checkpoint Inhibitors in the US &amp; EU</w:t>
      </w:r>
    </w:p>
    <w:p w14:paraId="614FADF2" w14:textId="77777777" w:rsidR="005E10E0" w:rsidRPr="005E10E0" w:rsidRDefault="005E10E0" w:rsidP="005E10E0">
      <w:r w:rsidRPr="005E10E0">
        <w:t>The table below summarizes the key approved agents that form the current standard of care for MSI-H/</w:t>
      </w:r>
      <w:proofErr w:type="spellStart"/>
      <w:r w:rsidRPr="005E10E0">
        <w:t>dMMR</w:t>
      </w:r>
      <w:proofErr w:type="spellEnd"/>
      <w:r w:rsidRPr="005E10E0">
        <w:t xml:space="preserve"> CRC.</w:t>
      </w:r>
    </w:p>
    <w:tbl>
      <w:tblPr>
        <w:tblW w:w="0" w:type="auto"/>
        <w:tblInd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53"/>
        <w:gridCol w:w="986"/>
        <w:gridCol w:w="1764"/>
        <w:gridCol w:w="2823"/>
        <w:gridCol w:w="1149"/>
      </w:tblGrid>
      <w:tr w:rsidR="005E10E0" w:rsidRPr="005E10E0" w14:paraId="0C20B896"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48D1013E" w14:textId="77777777" w:rsidR="005E10E0" w:rsidRPr="005E10E0" w:rsidRDefault="005E10E0" w:rsidP="005E10E0">
            <w:r w:rsidRPr="005E10E0">
              <w:lastRenderedPageBreak/>
              <w:t>Agent (Brand Name)</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152989AF" w14:textId="77777777" w:rsidR="005E10E0" w:rsidRPr="005E10E0" w:rsidRDefault="005E10E0" w:rsidP="005E10E0">
            <w:r w:rsidRPr="005E10E0">
              <w:t>Company</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7593B019" w14:textId="77777777" w:rsidR="005E10E0" w:rsidRPr="005E10E0" w:rsidRDefault="005E10E0" w:rsidP="005E10E0">
            <w:r w:rsidRPr="005E10E0">
              <w:t>Target / Mechanism of Action</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3DD7B1C2" w14:textId="77777777" w:rsidR="005E10E0" w:rsidRPr="005E10E0" w:rsidRDefault="005E10E0" w:rsidP="005E10E0">
            <w:r w:rsidRPr="005E10E0">
              <w:t>Key Approval &amp; Setting (US/EU)</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16CB30ED" w14:textId="77777777" w:rsidR="005E10E0" w:rsidRPr="005E10E0" w:rsidRDefault="005E10E0" w:rsidP="005E10E0">
            <w:r w:rsidRPr="005E10E0">
              <w:t>Geographic Coverage</w:t>
            </w:r>
          </w:p>
        </w:tc>
      </w:tr>
      <w:tr w:rsidR="005E10E0" w:rsidRPr="005E10E0" w14:paraId="39F038AA"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5E5606B7" w14:textId="77777777" w:rsidR="005E10E0" w:rsidRPr="005E10E0" w:rsidRDefault="005E10E0" w:rsidP="005E10E0">
            <w:r w:rsidRPr="005E10E0">
              <w:rPr>
                <w:b/>
                <w:bCs/>
              </w:rPr>
              <w:t>Pembrolizumab</w:t>
            </w:r>
            <w:r w:rsidRPr="005E10E0">
              <w:t> (Keytruda)</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54C8B79" w14:textId="77777777" w:rsidR="005E10E0" w:rsidRPr="005E10E0" w:rsidRDefault="005E10E0" w:rsidP="005E10E0">
            <w:r w:rsidRPr="005E10E0">
              <w:t>Merck &amp; Co.</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48F7781" w14:textId="77777777" w:rsidR="005E10E0" w:rsidRPr="005E10E0" w:rsidRDefault="005E10E0" w:rsidP="005E10E0">
            <w:r w:rsidRPr="005E10E0">
              <w:rPr>
                <w:b/>
                <w:bCs/>
              </w:rPr>
              <w:t>PD-1 Inhibitor:</w:t>
            </w:r>
            <w:r w:rsidRPr="005E10E0">
              <w:t> Blocks the interaction between PD-1 on T-cells and its ligands (PD-L1/L2), restoring anti-tumor T-cell activity.</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EE83B7A" w14:textId="77777777" w:rsidR="005E10E0" w:rsidRPr="005E10E0" w:rsidRDefault="005E10E0" w:rsidP="005E10E0">
            <w:r w:rsidRPr="005E10E0">
              <w:rPr>
                <w:b/>
                <w:bCs/>
              </w:rPr>
              <w:t>First-line</w:t>
            </w:r>
            <w:r w:rsidRPr="005E10E0">
              <w:t> unresectable/metastatic MSI-H/</w:t>
            </w:r>
            <w:proofErr w:type="spellStart"/>
            <w:r w:rsidRPr="005E10E0">
              <w:t>dMMR</w:t>
            </w:r>
            <w:proofErr w:type="spellEnd"/>
            <w:r w:rsidRPr="005E10E0">
              <w:t xml:space="preserve"> CRC (FDA 2020, EMA 2021) [</w:t>
            </w:r>
            <w:hyperlink r:id="rId6" w:tgtFrame="_blank" w:history="1">
              <w:r w:rsidRPr="005E10E0">
                <w:rPr>
                  <w:rStyle w:val="Hyperlink"/>
                </w:rPr>
                <w:t>3</w:t>
              </w:r>
            </w:hyperlink>
            <w:r w:rsidRPr="005E10E0">
              <w:t>][</w:t>
            </w:r>
            <w:hyperlink r:id="rId7" w:tgtFrame="_blank" w:history="1">
              <w:r w:rsidRPr="005E10E0">
                <w:rPr>
                  <w:rStyle w:val="Hyperlink"/>
                </w:rPr>
                <w:t>6</w:t>
              </w:r>
            </w:hyperlink>
            <w:r w:rsidRPr="005E10E0">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E3E5FDA" w14:textId="77777777" w:rsidR="005E10E0" w:rsidRPr="005E10E0" w:rsidRDefault="005E10E0" w:rsidP="005E10E0">
            <w:r w:rsidRPr="005E10E0">
              <w:t>USA, UK, Germany, France, Italy, Spain [</w:t>
            </w:r>
            <w:hyperlink r:id="rId8" w:tgtFrame="_blank" w:history="1">
              <w:r w:rsidRPr="005E10E0">
                <w:rPr>
                  <w:rStyle w:val="Hyperlink"/>
                </w:rPr>
                <w:t>20</w:t>
              </w:r>
            </w:hyperlink>
            <w:r w:rsidRPr="005E10E0">
              <w:t>]</w:t>
            </w:r>
          </w:p>
        </w:tc>
      </w:tr>
      <w:tr w:rsidR="005E10E0" w:rsidRPr="005E10E0" w14:paraId="3B13455E"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4FBA9F02" w14:textId="77777777" w:rsidR="005E10E0" w:rsidRPr="005E10E0" w:rsidRDefault="005E10E0" w:rsidP="005E10E0">
            <w:r w:rsidRPr="005E10E0">
              <w:rPr>
                <w:b/>
                <w:bCs/>
              </w:rPr>
              <w:t>Nivolumab</w:t>
            </w:r>
            <w:r w:rsidRPr="005E10E0">
              <w:t> (</w:t>
            </w:r>
            <w:proofErr w:type="spellStart"/>
            <w:r w:rsidRPr="005E10E0">
              <w:t>Opdivo</w:t>
            </w:r>
            <w:proofErr w:type="spellEnd"/>
            <w:r w:rsidRPr="005E10E0">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572F3FB" w14:textId="77777777" w:rsidR="005E10E0" w:rsidRPr="005E10E0" w:rsidRDefault="005E10E0" w:rsidP="005E10E0">
            <w:r w:rsidRPr="005E10E0">
              <w:t>Bristol-Myers Squibb</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606BF5F" w14:textId="77777777" w:rsidR="005E10E0" w:rsidRPr="005E10E0" w:rsidRDefault="005E10E0" w:rsidP="005E10E0">
            <w:r w:rsidRPr="005E10E0">
              <w:rPr>
                <w:b/>
                <w:bCs/>
              </w:rPr>
              <w:t>PD-1 Inhibitor:</w:t>
            </w:r>
            <w:r w:rsidRPr="005E10E0">
              <w:t> </w:t>
            </w:r>
            <w:proofErr w:type="gramStart"/>
            <w:r w:rsidRPr="005E10E0">
              <w:t>Similar to</w:t>
            </w:r>
            <w:proofErr w:type="gramEnd"/>
            <w:r w:rsidRPr="005E10E0">
              <w:t xml:space="preserve"> pembrolizumab, it reinvigorates exhausted T-cells by blocking the PD-1/PD-L1 pathway.</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BE87B86" w14:textId="77777777" w:rsidR="005E10E0" w:rsidRPr="005E10E0" w:rsidRDefault="005E10E0" w:rsidP="005E10E0">
            <w:r w:rsidRPr="005E10E0">
              <w:rPr>
                <w:b/>
                <w:bCs/>
              </w:rPr>
              <w:t>First-line</w:t>
            </w:r>
            <w:r w:rsidRPr="005E10E0">
              <w:t> MSI-H/</w:t>
            </w:r>
            <w:proofErr w:type="spellStart"/>
            <w:r w:rsidRPr="005E10E0">
              <w:t>dMMR</w:t>
            </w:r>
            <w:proofErr w:type="spellEnd"/>
            <w:r w:rsidRPr="005E10E0">
              <w:t xml:space="preserve"> mCRC in combination with ipilimumab (FDA 2025, EMA 2025) [</w:t>
            </w:r>
            <w:hyperlink r:id="rId9" w:tgtFrame="_blank" w:history="1">
              <w:r w:rsidRPr="005E10E0">
                <w:rPr>
                  <w:rStyle w:val="Hyperlink"/>
                </w:rPr>
                <w:t>5</w:t>
              </w:r>
            </w:hyperlink>
            <w:r w:rsidRPr="005E10E0">
              <w:t>][</w:t>
            </w:r>
            <w:hyperlink r:id="rId10" w:tgtFrame="_blank" w:history="1">
              <w:r w:rsidRPr="005E10E0">
                <w:rPr>
                  <w:rStyle w:val="Hyperlink"/>
                </w:rPr>
                <w:t>7</w:t>
              </w:r>
            </w:hyperlink>
            <w:r w:rsidRPr="005E10E0">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0D79F9F" w14:textId="77777777" w:rsidR="005E10E0" w:rsidRPr="005E10E0" w:rsidRDefault="005E10E0" w:rsidP="005E10E0">
            <w:r w:rsidRPr="005E10E0">
              <w:t>USA, UK, Germany, France, Italy, Spain [</w:t>
            </w:r>
            <w:hyperlink r:id="rId11" w:tgtFrame="_blank" w:history="1">
              <w:r w:rsidRPr="005E10E0">
                <w:rPr>
                  <w:rStyle w:val="Hyperlink"/>
                </w:rPr>
                <w:t>20</w:t>
              </w:r>
            </w:hyperlink>
            <w:r w:rsidRPr="005E10E0">
              <w:t>]</w:t>
            </w:r>
          </w:p>
        </w:tc>
      </w:tr>
      <w:tr w:rsidR="005E10E0" w:rsidRPr="005E10E0" w14:paraId="0A730E2B"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6D59003C" w14:textId="77777777" w:rsidR="005E10E0" w:rsidRPr="005E10E0" w:rsidRDefault="005E10E0" w:rsidP="005E10E0">
            <w:r w:rsidRPr="005E10E0">
              <w:rPr>
                <w:b/>
                <w:bCs/>
              </w:rPr>
              <w:t>Ipilimumab</w:t>
            </w:r>
            <w:r w:rsidRPr="005E10E0">
              <w:t> (</w:t>
            </w:r>
            <w:proofErr w:type="spellStart"/>
            <w:r w:rsidRPr="005E10E0">
              <w:t>Yervoy</w:t>
            </w:r>
            <w:proofErr w:type="spellEnd"/>
            <w:r w:rsidRPr="005E10E0">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A6AFCE1" w14:textId="77777777" w:rsidR="005E10E0" w:rsidRPr="005E10E0" w:rsidRDefault="005E10E0" w:rsidP="005E10E0">
            <w:r w:rsidRPr="005E10E0">
              <w:t>Bristol-Myers Squibb</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573F99D" w14:textId="77777777" w:rsidR="005E10E0" w:rsidRPr="005E10E0" w:rsidRDefault="005E10E0" w:rsidP="005E10E0">
            <w:r w:rsidRPr="005E10E0">
              <w:rPr>
                <w:b/>
                <w:bCs/>
              </w:rPr>
              <w:t>CTLA-4 Inhibitor:</w:t>
            </w:r>
            <w:r w:rsidRPr="005E10E0">
              <w:t> Blocks the CTLA-4 protein on T-cells, a key negative regulator, promoting T-cell activation and proliferation.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D3BC684" w14:textId="77777777" w:rsidR="005E10E0" w:rsidRPr="005E10E0" w:rsidRDefault="005E10E0" w:rsidP="005E10E0">
            <w:r w:rsidRPr="005E10E0">
              <w:rPr>
                <w:b/>
                <w:bCs/>
              </w:rPr>
              <w:t>First-line</w:t>
            </w:r>
            <w:r w:rsidRPr="005E10E0">
              <w:t> MSI-H/</w:t>
            </w:r>
            <w:proofErr w:type="spellStart"/>
            <w:r w:rsidRPr="005E10E0">
              <w:t>dMMR</w:t>
            </w:r>
            <w:proofErr w:type="spellEnd"/>
            <w:r w:rsidRPr="005E10E0">
              <w:t xml:space="preserve"> mCRC in combination with nivolumab (FDA 2025, EMA 2025) [</w:t>
            </w:r>
            <w:hyperlink r:id="rId12" w:tgtFrame="_blank" w:history="1">
              <w:r w:rsidRPr="005E10E0">
                <w:rPr>
                  <w:rStyle w:val="Hyperlink"/>
                </w:rPr>
                <w:t>5</w:t>
              </w:r>
            </w:hyperlink>
            <w:r w:rsidRPr="005E10E0">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93B7E8F" w14:textId="77777777" w:rsidR="005E10E0" w:rsidRPr="005E10E0" w:rsidRDefault="005E10E0" w:rsidP="005E10E0">
            <w:r w:rsidRPr="005E10E0">
              <w:t>USA, UK, Germany, France, Italy, Spain [</w:t>
            </w:r>
            <w:hyperlink r:id="rId13" w:tgtFrame="_blank" w:history="1">
              <w:r w:rsidRPr="005E10E0">
                <w:rPr>
                  <w:rStyle w:val="Hyperlink"/>
                </w:rPr>
                <w:t>20</w:t>
              </w:r>
            </w:hyperlink>
            <w:r w:rsidRPr="005E10E0">
              <w:t>]</w:t>
            </w:r>
          </w:p>
        </w:tc>
      </w:tr>
      <w:tr w:rsidR="005E10E0" w:rsidRPr="005E10E0" w14:paraId="3C35E227"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7AF32F68" w14:textId="77777777" w:rsidR="005E10E0" w:rsidRPr="005E10E0" w:rsidRDefault="005E10E0" w:rsidP="005E10E0">
            <w:proofErr w:type="spellStart"/>
            <w:r w:rsidRPr="005E10E0">
              <w:rPr>
                <w:b/>
                <w:bCs/>
              </w:rPr>
              <w:t>Dostarlimab</w:t>
            </w:r>
            <w:proofErr w:type="spellEnd"/>
            <w:r w:rsidRPr="005E10E0">
              <w:t> (</w:t>
            </w:r>
            <w:proofErr w:type="spellStart"/>
            <w:r w:rsidRPr="005E10E0">
              <w:t>Jemperli</w:t>
            </w:r>
            <w:proofErr w:type="spellEnd"/>
            <w:r w:rsidRPr="005E10E0">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E6E93ED" w14:textId="77777777" w:rsidR="005E10E0" w:rsidRPr="005E10E0" w:rsidRDefault="005E10E0" w:rsidP="005E10E0">
            <w:r w:rsidRPr="005E10E0">
              <w:t xml:space="preserve">GSK / </w:t>
            </w:r>
            <w:proofErr w:type="spellStart"/>
            <w:r w:rsidRPr="005E10E0">
              <w:t>Tesaro</w:t>
            </w:r>
            <w:proofErr w:type="spellEnd"/>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32DE1B5" w14:textId="77777777" w:rsidR="005E10E0" w:rsidRPr="005E10E0" w:rsidRDefault="005E10E0" w:rsidP="005E10E0">
            <w:r w:rsidRPr="005E10E0">
              <w:rPr>
                <w:b/>
                <w:bCs/>
              </w:rPr>
              <w:t>PD-1 Inhibitor:</w:t>
            </w:r>
            <w:r w:rsidRPr="005E10E0">
              <w:t> Another agent that blocks the PD-</w:t>
            </w:r>
            <w:r w:rsidRPr="005E10E0">
              <w:lastRenderedPageBreak/>
              <w:t>1/PD-L1 axis to enhance immune response.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238CB33" w14:textId="77777777" w:rsidR="005E10E0" w:rsidRPr="005E10E0" w:rsidRDefault="005E10E0" w:rsidP="005E10E0">
            <w:r w:rsidRPr="005E10E0">
              <w:rPr>
                <w:b/>
                <w:bCs/>
              </w:rPr>
              <w:lastRenderedPageBreak/>
              <w:t>Tumor-agnostic</w:t>
            </w:r>
            <w:r w:rsidRPr="005E10E0">
              <w:t xml:space="preserve"> approval for </w:t>
            </w:r>
            <w:proofErr w:type="spellStart"/>
            <w:r w:rsidRPr="005E10E0">
              <w:t>dMMR</w:t>
            </w:r>
            <w:proofErr w:type="spellEnd"/>
            <w:r w:rsidRPr="005E10E0">
              <w:t xml:space="preserve"> recurrent/advanced solid tumors (including CRC) </w:t>
            </w:r>
            <w:r w:rsidRPr="005E10E0">
              <w:lastRenderedPageBreak/>
              <w:t>after prior therapy (FDA 2021, EMA 2022) [</w:t>
            </w:r>
            <w:hyperlink r:id="rId14" w:tgtFrame="_blank" w:history="1">
              <w:r w:rsidRPr="005E10E0">
                <w:rPr>
                  <w:rStyle w:val="Hyperlink"/>
                </w:rPr>
                <w:t>4</w:t>
              </w:r>
            </w:hyperlink>
            <w:r w:rsidRPr="005E10E0">
              <w:t>][</w:t>
            </w:r>
            <w:hyperlink r:id="rId15" w:tgtFrame="_blank" w:history="1">
              <w:r w:rsidRPr="005E10E0">
                <w:rPr>
                  <w:rStyle w:val="Hyperlink"/>
                </w:rPr>
                <w:t>8</w:t>
              </w:r>
            </w:hyperlink>
            <w:r w:rsidRPr="005E10E0">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7D83353" w14:textId="77777777" w:rsidR="005E10E0" w:rsidRPr="005E10E0" w:rsidRDefault="005E10E0" w:rsidP="005E10E0">
            <w:r w:rsidRPr="005E10E0">
              <w:lastRenderedPageBreak/>
              <w:t>USA, Italy, EU-wide [</w:t>
            </w:r>
            <w:hyperlink r:id="rId16" w:tgtFrame="_blank" w:history="1">
              <w:r w:rsidRPr="005E10E0">
                <w:rPr>
                  <w:rStyle w:val="Hyperlink"/>
                </w:rPr>
                <w:t>8</w:t>
              </w:r>
            </w:hyperlink>
            <w:r w:rsidRPr="005E10E0">
              <w:t>][</w:t>
            </w:r>
            <w:hyperlink r:id="rId17" w:tgtFrame="_blank" w:history="1">
              <w:r w:rsidRPr="005E10E0">
                <w:rPr>
                  <w:rStyle w:val="Hyperlink"/>
                </w:rPr>
                <w:t>20</w:t>
              </w:r>
            </w:hyperlink>
            <w:r w:rsidRPr="005E10E0">
              <w:t>]</w:t>
            </w:r>
          </w:p>
        </w:tc>
      </w:tr>
      <w:tr w:rsidR="005E10E0" w:rsidRPr="005E10E0" w14:paraId="630154D3"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7A31B454" w14:textId="77777777" w:rsidR="005E10E0" w:rsidRPr="005E10E0" w:rsidRDefault="005E10E0" w:rsidP="005E10E0">
            <w:r w:rsidRPr="005E10E0">
              <w:rPr>
                <w:b/>
                <w:bCs/>
              </w:rPr>
              <w:t>Nivolumab SC</w:t>
            </w:r>
            <w:r w:rsidRPr="005E10E0">
              <w:t> (</w:t>
            </w:r>
            <w:proofErr w:type="spellStart"/>
            <w:r w:rsidRPr="005E10E0">
              <w:t>Opdivo</w:t>
            </w:r>
            <w:proofErr w:type="spellEnd"/>
            <w:r w:rsidRPr="005E10E0">
              <w:t xml:space="preserve"> Qvantig)</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FDFE344" w14:textId="77777777" w:rsidR="005E10E0" w:rsidRPr="005E10E0" w:rsidRDefault="005E10E0" w:rsidP="005E10E0">
            <w:r w:rsidRPr="005E10E0">
              <w:t>Bristol-Myers Squibb / Halozyme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B1E7F25" w14:textId="77777777" w:rsidR="005E10E0" w:rsidRPr="005E10E0" w:rsidRDefault="005E10E0" w:rsidP="005E10E0">
            <w:r w:rsidRPr="005E10E0">
              <w:rPr>
                <w:b/>
                <w:bCs/>
              </w:rPr>
              <w:t>PD-1 Inhibitor:</w:t>
            </w:r>
            <w:r w:rsidRPr="005E10E0">
              <w:t> A subcutaneous (SC) co-formulation of nivolumab with ENHANZE technology for faster administration.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C00874E" w14:textId="77777777" w:rsidR="005E10E0" w:rsidRPr="005E10E0" w:rsidRDefault="005E10E0" w:rsidP="005E10E0">
            <w:r w:rsidRPr="005E10E0">
              <w:t>Approved for all existing nivolumab indications, including CRC [</w:t>
            </w:r>
            <w:hyperlink r:id="rId18" w:tgtFrame="_blank" w:history="1">
              <w:r w:rsidRPr="005E10E0">
                <w:rPr>
                  <w:rStyle w:val="Hyperlink"/>
                </w:rPr>
                <w:t>20</w:t>
              </w:r>
            </w:hyperlink>
            <w:r w:rsidRPr="005E10E0">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B53A582" w14:textId="77777777" w:rsidR="005E10E0" w:rsidRPr="005E10E0" w:rsidRDefault="005E10E0" w:rsidP="005E10E0">
            <w:r w:rsidRPr="005E10E0">
              <w:t>USA, Spain [</w:t>
            </w:r>
            <w:hyperlink r:id="rId19" w:tgtFrame="_blank" w:history="1">
              <w:r w:rsidRPr="005E10E0">
                <w:rPr>
                  <w:rStyle w:val="Hyperlink"/>
                </w:rPr>
                <w:t>20</w:t>
              </w:r>
            </w:hyperlink>
            <w:r w:rsidRPr="005E10E0">
              <w:t>]</w:t>
            </w:r>
          </w:p>
        </w:tc>
      </w:tr>
    </w:tbl>
    <w:p w14:paraId="4520125F" w14:textId="77777777" w:rsidR="005E10E0" w:rsidRPr="005E10E0" w:rsidRDefault="005E10E0" w:rsidP="005E10E0">
      <w:pPr>
        <w:rPr>
          <w:b/>
          <w:bCs/>
        </w:rPr>
      </w:pPr>
      <w:r w:rsidRPr="005E10E0">
        <w:rPr>
          <w:b/>
          <w:bCs/>
        </w:rPr>
        <w:t>Clinical Evidence &amp; Biomarker Dominance</w:t>
      </w:r>
    </w:p>
    <w:p w14:paraId="7A6D99AE" w14:textId="77777777" w:rsidR="005E10E0" w:rsidRPr="005E10E0" w:rsidRDefault="005E10E0" w:rsidP="005E10E0">
      <w:r w:rsidRPr="005E10E0">
        <w:t>The approval of these agents was driven by landmark clinical trials that established their superiority over chemotherapy for the MSI-H/</w:t>
      </w:r>
      <w:proofErr w:type="spellStart"/>
      <w:r w:rsidRPr="005E10E0">
        <w:t>dMMR</w:t>
      </w:r>
      <w:proofErr w:type="spellEnd"/>
      <w:r w:rsidRPr="005E10E0">
        <w:t xml:space="preserve"> population.</w:t>
      </w:r>
    </w:p>
    <w:p w14:paraId="59AD99E0" w14:textId="77777777" w:rsidR="005E10E0" w:rsidRPr="005E10E0" w:rsidRDefault="005E10E0" w:rsidP="005E10E0">
      <w:pPr>
        <w:numPr>
          <w:ilvl w:val="0"/>
          <w:numId w:val="1"/>
        </w:numPr>
      </w:pPr>
      <w:r w:rsidRPr="005E10E0">
        <w:rPr>
          <w:b/>
          <w:bCs/>
        </w:rPr>
        <w:t>Pembrolizumab (KEYNOTE-177):</w:t>
      </w:r>
      <w:r w:rsidRPr="005E10E0">
        <w:t> This trial established pembrolizumab as a first-line standard of care, demonstrating a median progression-free survival (PFS) of </w:t>
      </w:r>
      <w:r w:rsidRPr="005E10E0">
        <w:rPr>
          <w:b/>
          <w:bCs/>
        </w:rPr>
        <w:t>16.5 months</w:t>
      </w:r>
      <w:r w:rsidRPr="005E10E0">
        <w:t> versus 8.2 months for chemotherapy [</w:t>
      </w:r>
      <w:hyperlink r:id="rId20" w:tgtFrame="_blank" w:history="1">
        <w:r w:rsidRPr="005E10E0">
          <w:rPr>
            <w:rStyle w:val="Hyperlink"/>
          </w:rPr>
          <w:t>6</w:t>
        </w:r>
      </w:hyperlink>
      <w:r w:rsidRPr="005E10E0">
        <w:t>].</w:t>
      </w:r>
    </w:p>
    <w:p w14:paraId="73F51557" w14:textId="77777777" w:rsidR="005E10E0" w:rsidRPr="005E10E0" w:rsidRDefault="005E10E0" w:rsidP="005E10E0">
      <w:pPr>
        <w:numPr>
          <w:ilvl w:val="0"/>
          <w:numId w:val="1"/>
        </w:numPr>
      </w:pPr>
      <w:r w:rsidRPr="005E10E0">
        <w:rPr>
          <w:b/>
          <w:bCs/>
        </w:rPr>
        <w:t>Nivolumab + Ipilimumab (CheckMate-8HW):</w:t>
      </w:r>
      <w:r w:rsidRPr="005E10E0">
        <w:t> This study validated the first dual-ICI combination in the first-line setting. The combination achieved a PFS that was not reached at the time of analysis, compared to 5.8 months for chemotherapy [</w:t>
      </w:r>
      <w:hyperlink r:id="rId21" w:tgtFrame="_blank" w:history="1">
        <w:r w:rsidRPr="005E10E0">
          <w:rPr>
            <w:rStyle w:val="Hyperlink"/>
          </w:rPr>
          <w:t>7</w:t>
        </w:r>
      </w:hyperlink>
      <w:r w:rsidRPr="005E10E0">
        <w:t>]. The 3-year PFS rate was </w:t>
      </w:r>
      <w:r w:rsidRPr="005E10E0">
        <w:rPr>
          <w:b/>
          <w:bCs/>
        </w:rPr>
        <w:t>68%</w:t>
      </w:r>
      <w:r w:rsidRPr="005E10E0">
        <w:t> for the combination versus 51% for nivolumab alone, though this came at the cost of higher Grade ≥3 immune-related adverse events (22% vs. 14%) [</w:t>
      </w:r>
      <w:hyperlink r:id="rId22" w:tgtFrame="_blank" w:history="1">
        <w:r w:rsidRPr="005E10E0">
          <w:rPr>
            <w:rStyle w:val="Hyperlink"/>
          </w:rPr>
          <w:t>5</w:t>
        </w:r>
      </w:hyperlink>
      <w:r w:rsidRPr="005E10E0">
        <w:t>].</w:t>
      </w:r>
    </w:p>
    <w:p w14:paraId="1C40AB2F" w14:textId="77777777" w:rsidR="005E10E0" w:rsidRPr="005E10E0" w:rsidRDefault="005E10E0" w:rsidP="005E10E0">
      <w:pPr>
        <w:numPr>
          <w:ilvl w:val="0"/>
          <w:numId w:val="1"/>
        </w:numPr>
      </w:pPr>
      <w:proofErr w:type="spellStart"/>
      <w:r w:rsidRPr="005E10E0">
        <w:rPr>
          <w:b/>
          <w:bCs/>
        </w:rPr>
        <w:t>Dostarlimab</w:t>
      </w:r>
      <w:proofErr w:type="spellEnd"/>
      <w:r w:rsidRPr="005E10E0">
        <w:rPr>
          <w:b/>
          <w:bCs/>
        </w:rPr>
        <w:t xml:space="preserve"> (GARNET):</w:t>
      </w:r>
      <w:r w:rsidRPr="005E10E0">
        <w:t xml:space="preserve"> In a cohort of previously treated </w:t>
      </w:r>
      <w:proofErr w:type="spellStart"/>
      <w:r w:rsidRPr="005E10E0">
        <w:t>dMMR</w:t>
      </w:r>
      <w:proofErr w:type="spellEnd"/>
      <w:r w:rsidRPr="005E10E0">
        <w:t xml:space="preserve"> solid tumor patients, </w:t>
      </w:r>
      <w:proofErr w:type="spellStart"/>
      <w:r w:rsidRPr="005E10E0">
        <w:t>dostarlimab</w:t>
      </w:r>
      <w:proofErr w:type="spellEnd"/>
      <w:r w:rsidRPr="005E10E0">
        <w:t xml:space="preserve"> showed an impressive overall response rate (ORR) of </w:t>
      </w:r>
      <w:r w:rsidRPr="005E10E0">
        <w:rPr>
          <w:b/>
          <w:bCs/>
        </w:rPr>
        <w:t>41.6%</w:t>
      </w:r>
      <w:r w:rsidRPr="005E10E0">
        <w:t> and a median duration of response (</w:t>
      </w:r>
      <w:proofErr w:type="spellStart"/>
      <w:r w:rsidRPr="005E10E0">
        <w:t>DoR</w:t>
      </w:r>
      <w:proofErr w:type="spellEnd"/>
      <w:r w:rsidRPr="005E10E0">
        <w:t>) of 34.7 months, securing its place as a later-line option [</w:t>
      </w:r>
      <w:hyperlink r:id="rId23" w:tgtFrame="_blank" w:history="1">
        <w:r w:rsidRPr="005E10E0">
          <w:rPr>
            <w:rStyle w:val="Hyperlink"/>
          </w:rPr>
          <w:t>8</w:t>
        </w:r>
      </w:hyperlink>
      <w:r w:rsidRPr="005E10E0">
        <w:t>].</w:t>
      </w:r>
    </w:p>
    <w:p w14:paraId="77F3F839" w14:textId="77777777" w:rsidR="005E10E0" w:rsidRPr="005E10E0" w:rsidRDefault="005E10E0" w:rsidP="005E10E0">
      <w:r w:rsidRPr="005E10E0">
        <w:rPr>
          <w:b/>
          <w:bCs/>
        </w:rPr>
        <w:lastRenderedPageBreak/>
        <w:t>Biomarker Imperative:</w:t>
      </w:r>
      <w:r w:rsidRPr="005E10E0">
        <w:t> The MSI-H/</w:t>
      </w:r>
      <w:proofErr w:type="spellStart"/>
      <w:r w:rsidRPr="005E10E0">
        <w:t>dMMR</w:t>
      </w:r>
      <w:proofErr w:type="spellEnd"/>
      <w:r w:rsidRPr="005E10E0">
        <w:t xml:space="preserve"> biomarker is paramount. All current immunotherapy approvals in CRC hinge on this status. The CheckMate-8HW trial highlighted the criticality of accurate testing, revealing that over 10% of patients identified by local testing were false positives, prompting calls for dual-platform confirmation to ensure patients are correctly selected for these powerful therapies [</w:t>
      </w:r>
      <w:hyperlink r:id="rId24" w:tgtFrame="_blank" w:history="1">
        <w:r w:rsidRPr="005E10E0">
          <w:rPr>
            <w:rStyle w:val="Hyperlink"/>
          </w:rPr>
          <w:t>5</w:t>
        </w:r>
      </w:hyperlink>
      <w:r w:rsidRPr="005E10E0">
        <w:t>].</w:t>
      </w:r>
    </w:p>
    <w:p w14:paraId="65868DDA" w14:textId="77777777" w:rsidR="005E10E0" w:rsidRPr="005E10E0" w:rsidRDefault="005E10E0" w:rsidP="005E10E0">
      <w:pPr>
        <w:rPr>
          <w:b/>
          <w:bCs/>
        </w:rPr>
      </w:pPr>
      <w:r w:rsidRPr="005E10E0">
        <w:rPr>
          <w:b/>
          <w:bCs/>
        </w:rPr>
        <w:t>II. Clinical-Stage Pipeline: Targeting the MSS-CRC Majority</w:t>
      </w:r>
    </w:p>
    <w:p w14:paraId="75FCDACE" w14:textId="77777777" w:rsidR="005E10E0" w:rsidRPr="005E10E0" w:rsidRDefault="005E10E0" w:rsidP="005E10E0">
      <w:r w:rsidRPr="005E10E0">
        <w:t xml:space="preserve">The vast majority of CRC research is focused on making immunotherapy effective for </w:t>
      </w:r>
      <w:proofErr w:type="gramStart"/>
      <w:r w:rsidRPr="005E10E0">
        <w:t>the 95</w:t>
      </w:r>
      <w:proofErr w:type="gramEnd"/>
      <w:r w:rsidRPr="005E10E0">
        <w:t>% of patients with MSS tumors. This involves a multi-pronged approach using novel modalities and combination strategies.</w:t>
      </w:r>
    </w:p>
    <w:p w14:paraId="0062FF49" w14:textId="77777777" w:rsidR="005E10E0" w:rsidRPr="005E10E0" w:rsidRDefault="005E10E0" w:rsidP="005E10E0">
      <w:pPr>
        <w:rPr>
          <w:b/>
          <w:bCs/>
        </w:rPr>
      </w:pPr>
      <w:r w:rsidRPr="005E10E0">
        <w:rPr>
          <w:b/>
          <w:bCs/>
        </w:rPr>
        <w:t>A. Bispecific Antibodies (</w:t>
      </w:r>
      <w:proofErr w:type="spellStart"/>
      <w:r w:rsidRPr="005E10E0">
        <w:rPr>
          <w:b/>
          <w:bCs/>
        </w:rPr>
        <w:t>bsAbs</w:t>
      </w:r>
      <w:proofErr w:type="spellEnd"/>
      <w:r w:rsidRPr="005E10E0">
        <w:rPr>
          <w:b/>
          <w:bCs/>
        </w:rPr>
        <w:t>)</w:t>
      </w:r>
    </w:p>
    <w:p w14:paraId="70E83D1A" w14:textId="77777777" w:rsidR="005E10E0" w:rsidRPr="005E10E0" w:rsidRDefault="005E10E0" w:rsidP="005E10E0">
      <w:r w:rsidRPr="005E10E0">
        <w:t>Bispecific antibodies are engineered to simultaneously bind to two different targets, most commonly a tumor antigen and an immune cell receptor like CD3, thereby physically linking T-cells to cancer cells to induce killing.</w:t>
      </w:r>
    </w:p>
    <w:p w14:paraId="187D0762" w14:textId="77777777" w:rsidR="005E10E0" w:rsidRPr="005E10E0" w:rsidRDefault="005E10E0" w:rsidP="005E10E0">
      <w:pPr>
        <w:numPr>
          <w:ilvl w:val="0"/>
          <w:numId w:val="2"/>
        </w:numPr>
      </w:pPr>
      <w:r w:rsidRPr="005E10E0">
        <w:rPr>
          <w:b/>
          <w:bCs/>
        </w:rPr>
        <w:t>CRC-Specific Clinical Data:</w:t>
      </w:r>
      <w:r w:rsidRPr="005E10E0">
        <w:t> The Phase I/II trial of </w:t>
      </w:r>
      <w:proofErr w:type="spellStart"/>
      <w:r w:rsidRPr="005E10E0">
        <w:rPr>
          <w:b/>
          <w:bCs/>
        </w:rPr>
        <w:t>Rybrevant</w:t>
      </w:r>
      <w:proofErr w:type="spellEnd"/>
      <w:r w:rsidRPr="005E10E0">
        <w:rPr>
          <w:b/>
          <w:bCs/>
        </w:rPr>
        <w:t xml:space="preserve"> (</w:t>
      </w:r>
      <w:proofErr w:type="spellStart"/>
      <w:r w:rsidRPr="005E10E0">
        <w:rPr>
          <w:b/>
          <w:bCs/>
        </w:rPr>
        <w:t>amivantamab</w:t>
      </w:r>
      <w:proofErr w:type="spellEnd"/>
      <w:r w:rsidRPr="005E10E0">
        <w:rPr>
          <w:b/>
          <w:bCs/>
        </w:rPr>
        <w:t>)</w:t>
      </w:r>
      <w:r w:rsidRPr="005E10E0">
        <w:t>, an EGFR/c-Met bispecific antibody, showed significant promise in combination with chemotherapy (FOLFOX/FOLFIRI) for RAS/BRAF wild-type mCRC. The study reported an </w:t>
      </w:r>
      <w:r w:rsidRPr="005E10E0">
        <w:rPr>
          <w:b/>
          <w:bCs/>
        </w:rPr>
        <w:t>ORR of 49%</w:t>
      </w:r>
      <w:r w:rsidRPr="005E10E0">
        <w:t> and a disease control rate (DCR) of 88%. Notably, 21% of patients were able to undergo curative-intent surgery after treatment [</w:t>
      </w:r>
      <w:hyperlink r:id="rId25" w:tgtFrame="_blank" w:history="1">
        <w:r w:rsidRPr="005E10E0">
          <w:rPr>
            <w:rStyle w:val="Hyperlink"/>
          </w:rPr>
          <w:t>2</w:t>
        </w:r>
      </w:hyperlink>
      <w:r w:rsidRPr="005E10E0">
        <w:t>].</w:t>
      </w:r>
    </w:p>
    <w:p w14:paraId="0F9102E9" w14:textId="77777777" w:rsidR="005E10E0" w:rsidRPr="005E10E0" w:rsidRDefault="005E10E0" w:rsidP="005E10E0">
      <w:pPr>
        <w:numPr>
          <w:ilvl w:val="0"/>
          <w:numId w:val="2"/>
        </w:numPr>
      </w:pPr>
      <w:r w:rsidRPr="005E10E0">
        <w:rPr>
          <w:b/>
          <w:bCs/>
        </w:rPr>
        <w:t>Broader Pipeline:</w:t>
      </w:r>
      <w:r w:rsidRPr="005E10E0">
        <w:t xml:space="preserve"> The landscape includes numerous agents targeting various antigens relevant to CRC, such as </w:t>
      </w:r>
      <w:proofErr w:type="spellStart"/>
      <w:r w:rsidRPr="005E10E0">
        <w:t>EpCAM</w:t>
      </w:r>
      <w:proofErr w:type="spellEnd"/>
      <w:r w:rsidRPr="005E10E0">
        <w:t>, CEA, and Claudin18.2 [</w:t>
      </w:r>
      <w:hyperlink r:id="rId26" w:tgtFrame="_blank" w:history="1">
        <w:r w:rsidRPr="005E10E0">
          <w:rPr>
            <w:rStyle w:val="Hyperlink"/>
          </w:rPr>
          <w:t>11</w:t>
        </w:r>
      </w:hyperlink>
      <w:r w:rsidRPr="005E10E0">
        <w:t>].</w:t>
      </w:r>
    </w:p>
    <w:p w14:paraId="492962FC" w14:textId="77777777" w:rsidR="005E10E0" w:rsidRPr="005E10E0" w:rsidRDefault="005E10E0" w:rsidP="005E10E0">
      <w:pPr>
        <w:numPr>
          <w:ilvl w:val="1"/>
          <w:numId w:val="2"/>
        </w:numPr>
      </w:pPr>
      <w:r w:rsidRPr="005E10E0">
        <w:rPr>
          <w:b/>
          <w:bCs/>
        </w:rPr>
        <w:t>QLS31905 (Claudin18.2/CD3):</w:t>
      </w:r>
      <w:r w:rsidRPr="005E10E0">
        <w:t> In a Phase I study of solid tumors, this agent achieved an ORR of 18.18% and a DCR of 87.88%, though it was associated with a 21.5% incidence of cytokine release syndrome (CRS) [</w:t>
      </w:r>
      <w:hyperlink r:id="rId27" w:tgtFrame="_blank" w:history="1">
        <w:r w:rsidRPr="005E10E0">
          <w:rPr>
            <w:rStyle w:val="Hyperlink"/>
          </w:rPr>
          <w:t>2</w:t>
        </w:r>
      </w:hyperlink>
      <w:r w:rsidRPr="005E10E0">
        <w:t>].</w:t>
      </w:r>
    </w:p>
    <w:p w14:paraId="53C73C2E" w14:textId="77777777" w:rsidR="005E10E0" w:rsidRPr="005E10E0" w:rsidRDefault="005E10E0" w:rsidP="005E10E0">
      <w:pPr>
        <w:numPr>
          <w:ilvl w:val="1"/>
          <w:numId w:val="2"/>
        </w:numPr>
      </w:pPr>
      <w:r w:rsidRPr="005E10E0">
        <w:rPr>
          <w:b/>
          <w:bCs/>
        </w:rPr>
        <w:t>BA3182 (</w:t>
      </w:r>
      <w:proofErr w:type="spellStart"/>
      <w:r w:rsidRPr="005E10E0">
        <w:rPr>
          <w:b/>
          <w:bCs/>
        </w:rPr>
        <w:t>EpCAM</w:t>
      </w:r>
      <w:proofErr w:type="spellEnd"/>
      <w:r w:rsidRPr="005E10E0">
        <w:rPr>
          <w:b/>
          <w:bCs/>
        </w:rPr>
        <w:t>/CD3):</w:t>
      </w:r>
      <w:r w:rsidRPr="005E10E0">
        <w:t> This T-cell engager demonstrated tumor reductions in 5 patients in its initial Phase I trial, with a dose expansion readout expected in 2026 [</w:t>
      </w:r>
      <w:hyperlink r:id="rId28" w:tgtFrame="_blank" w:history="1">
        <w:r w:rsidRPr="005E10E0">
          <w:rPr>
            <w:rStyle w:val="Hyperlink"/>
          </w:rPr>
          <w:t>2</w:t>
        </w:r>
      </w:hyperlink>
      <w:r w:rsidRPr="005E10E0">
        <w:t>][</w:t>
      </w:r>
      <w:hyperlink r:id="rId29" w:tgtFrame="_blank" w:history="1">
        <w:r w:rsidRPr="005E10E0">
          <w:rPr>
            <w:rStyle w:val="Hyperlink"/>
          </w:rPr>
          <w:t>19</w:t>
        </w:r>
      </w:hyperlink>
      <w:r w:rsidRPr="005E10E0">
        <w:t>].</w:t>
      </w:r>
    </w:p>
    <w:p w14:paraId="1D5C9A5D" w14:textId="77777777" w:rsidR="005E10E0" w:rsidRPr="005E10E0" w:rsidRDefault="005E10E0" w:rsidP="005E10E0">
      <w:pPr>
        <w:numPr>
          <w:ilvl w:val="1"/>
          <w:numId w:val="2"/>
        </w:numPr>
      </w:pPr>
      <w:r w:rsidRPr="005E10E0">
        <w:rPr>
          <w:b/>
          <w:bCs/>
        </w:rPr>
        <w:t>REGN7075 (EGFR/CD28):</w:t>
      </w:r>
      <w:r w:rsidRPr="005E10E0">
        <w:t> This costimulatory bispecific showed a 6% ORR in MSS CRC patients, indicating a potential, albeit modest, signal in this difficult-to-treat population [</w:t>
      </w:r>
      <w:hyperlink r:id="rId30" w:tgtFrame="_blank" w:history="1">
        <w:r w:rsidRPr="005E10E0">
          <w:rPr>
            <w:rStyle w:val="Hyperlink"/>
          </w:rPr>
          <w:t>2</w:t>
        </w:r>
      </w:hyperlink>
      <w:r w:rsidRPr="005E10E0">
        <w:t>].</w:t>
      </w:r>
    </w:p>
    <w:p w14:paraId="049A999C" w14:textId="77777777" w:rsidR="005E10E0" w:rsidRPr="005E10E0" w:rsidRDefault="005E10E0" w:rsidP="005E10E0">
      <w:pPr>
        <w:rPr>
          <w:b/>
          <w:bCs/>
        </w:rPr>
      </w:pPr>
      <w:r w:rsidRPr="005E10E0">
        <w:rPr>
          <w:b/>
          <w:bCs/>
        </w:rPr>
        <w:t>B. CAR-T Cell &amp; Adoptive Cell Therapies</w:t>
      </w:r>
    </w:p>
    <w:p w14:paraId="3A03B583" w14:textId="77777777" w:rsidR="005E10E0" w:rsidRPr="005E10E0" w:rsidRDefault="005E10E0" w:rsidP="005E10E0">
      <w:r w:rsidRPr="005E10E0">
        <w:t xml:space="preserve">CAR-T therapy involves genetically engineering a patient's own T-cells to express Chimeric Antigen Receptors (CARs) that recognize tumor antigens. While transformative in </w:t>
      </w:r>
      <w:r w:rsidRPr="005E10E0">
        <w:lastRenderedPageBreak/>
        <w:t>hematologic cancers, its use in solid tumors like CRC is challenged by T-cell trafficking, persistence, and the immunosuppressive tumor microenvironment.</w:t>
      </w:r>
    </w:p>
    <w:p w14:paraId="3B573323" w14:textId="77777777" w:rsidR="005E10E0" w:rsidRPr="005E10E0" w:rsidRDefault="005E10E0" w:rsidP="005E10E0">
      <w:pPr>
        <w:numPr>
          <w:ilvl w:val="0"/>
          <w:numId w:val="3"/>
        </w:numPr>
      </w:pPr>
      <w:r w:rsidRPr="005E10E0">
        <w:rPr>
          <w:b/>
          <w:bCs/>
        </w:rPr>
        <w:t>GUCY2C-Targeted CAR-T:</w:t>
      </w:r>
      <w:r w:rsidRPr="005E10E0">
        <w:t> A Phase I study in the US and China of </w:t>
      </w:r>
      <w:r w:rsidRPr="005E10E0">
        <w:rPr>
          <w:b/>
          <w:bCs/>
        </w:rPr>
        <w:t>GCC19CART</w:t>
      </w:r>
      <w:r w:rsidRPr="005E10E0">
        <w:t> targeting the GUCY2C antigen, which is expressed in CRC, reported a promising </w:t>
      </w:r>
      <w:r w:rsidRPr="005E10E0">
        <w:rPr>
          <w:b/>
          <w:bCs/>
        </w:rPr>
        <w:t>ORR of 60%</w:t>
      </w:r>
      <w:r w:rsidRPr="005E10E0">
        <w:t> and a DCR of 80% in a small cohort of 13 patients, with manageable CRS [</w:t>
      </w:r>
      <w:hyperlink r:id="rId31" w:tgtFrame="_blank" w:history="1">
        <w:r w:rsidRPr="005E10E0">
          <w:rPr>
            <w:rStyle w:val="Hyperlink"/>
          </w:rPr>
          <w:t>9</w:t>
        </w:r>
      </w:hyperlink>
      <w:r w:rsidRPr="005E10E0">
        <w:t>].</w:t>
      </w:r>
    </w:p>
    <w:p w14:paraId="1B51A9AC" w14:textId="77777777" w:rsidR="005E10E0" w:rsidRPr="005E10E0" w:rsidRDefault="005E10E0" w:rsidP="005E10E0">
      <w:pPr>
        <w:numPr>
          <w:ilvl w:val="0"/>
          <w:numId w:val="3"/>
        </w:numPr>
      </w:pPr>
      <w:r w:rsidRPr="005E10E0">
        <w:rPr>
          <w:b/>
          <w:bCs/>
        </w:rPr>
        <w:t>CEA-Targeted CAR-T (A2B530):</w:t>
      </w:r>
      <w:r w:rsidRPr="005E10E0">
        <w:t> To mitigate on-target, off-tumor toxicity, this therapy uses a logic-gated design with an engineered "mask" to protect healthy tissues. It received FDA Orphan Drug Designation in 2024, highlighting its potential [</w:t>
      </w:r>
      <w:hyperlink r:id="rId32" w:tgtFrame="_blank" w:history="1">
        <w:r w:rsidRPr="005E10E0">
          <w:rPr>
            <w:rStyle w:val="Hyperlink"/>
          </w:rPr>
          <w:t>10</w:t>
        </w:r>
      </w:hyperlink>
      <w:r w:rsidRPr="005E10E0">
        <w:t>].</w:t>
      </w:r>
    </w:p>
    <w:p w14:paraId="26E6EACD" w14:textId="77777777" w:rsidR="005E10E0" w:rsidRPr="005E10E0" w:rsidRDefault="005E10E0" w:rsidP="005E10E0">
      <w:pPr>
        <w:numPr>
          <w:ilvl w:val="0"/>
          <w:numId w:val="3"/>
        </w:numPr>
      </w:pPr>
      <w:r w:rsidRPr="005E10E0">
        <w:rPr>
          <w:b/>
          <w:bCs/>
        </w:rPr>
        <w:t>Combination with ICIs:</w:t>
      </w:r>
      <w:r w:rsidRPr="005E10E0">
        <w:t> The KEYNOTE-B79 trial is exploring the allogeneic (off-the-shelf) NKG2D-based CAR-T </w:t>
      </w:r>
      <w:r w:rsidRPr="005E10E0">
        <w:rPr>
          <w:b/>
          <w:bCs/>
        </w:rPr>
        <w:t>CYAD-101</w:t>
      </w:r>
      <w:r w:rsidRPr="005E10E0">
        <w:t> in combination with pembrolizumab for mCRC, aiming to leverage synergistic mechanisms [</w:t>
      </w:r>
      <w:hyperlink r:id="rId33" w:tgtFrame="_blank" w:history="1">
        <w:r w:rsidRPr="005E10E0">
          <w:rPr>
            <w:rStyle w:val="Hyperlink"/>
          </w:rPr>
          <w:t>9</w:t>
        </w:r>
      </w:hyperlink>
      <w:r w:rsidRPr="005E10E0">
        <w:t>].</w:t>
      </w:r>
    </w:p>
    <w:p w14:paraId="03CA809C" w14:textId="77777777" w:rsidR="005E10E0" w:rsidRPr="005E10E0" w:rsidRDefault="005E10E0" w:rsidP="005E10E0">
      <w:pPr>
        <w:rPr>
          <w:b/>
          <w:bCs/>
        </w:rPr>
      </w:pPr>
      <w:r w:rsidRPr="005E10E0">
        <w:rPr>
          <w:b/>
          <w:bCs/>
        </w:rPr>
        <w:t>C. Cancer Vaccines</w:t>
      </w:r>
    </w:p>
    <w:p w14:paraId="0AB494C0" w14:textId="77777777" w:rsidR="005E10E0" w:rsidRPr="005E10E0" w:rsidRDefault="005E10E0" w:rsidP="005E10E0">
      <w:r w:rsidRPr="005E10E0">
        <w:t>Therapeutic cancer vaccines are designed to train the immune system to recognize and attack cancer cells by presenting tumor-specific neoantigens.</w:t>
      </w:r>
    </w:p>
    <w:p w14:paraId="4CBB4671" w14:textId="77777777" w:rsidR="005E10E0" w:rsidRPr="005E10E0" w:rsidRDefault="005E10E0" w:rsidP="005E10E0">
      <w:pPr>
        <w:numPr>
          <w:ilvl w:val="0"/>
          <w:numId w:val="4"/>
        </w:numPr>
      </w:pPr>
      <w:r w:rsidRPr="005E10E0">
        <w:rPr>
          <w:b/>
          <w:bCs/>
        </w:rPr>
        <w:t>Personalized mRNA Vaccines:</w:t>
      </w:r>
      <w:r w:rsidRPr="005E10E0">
        <w:t> </w:t>
      </w:r>
      <w:proofErr w:type="spellStart"/>
      <w:r w:rsidRPr="005E10E0">
        <w:rPr>
          <w:b/>
          <w:bCs/>
        </w:rPr>
        <w:t>Autogene</w:t>
      </w:r>
      <w:proofErr w:type="spellEnd"/>
      <w:r w:rsidRPr="005E10E0">
        <w:rPr>
          <w:b/>
          <w:bCs/>
        </w:rPr>
        <w:t xml:space="preserve"> </w:t>
      </w:r>
      <w:proofErr w:type="spellStart"/>
      <w:r w:rsidRPr="005E10E0">
        <w:rPr>
          <w:b/>
          <w:bCs/>
        </w:rPr>
        <w:t>cevumeran</w:t>
      </w:r>
      <w:proofErr w:type="spellEnd"/>
      <w:r w:rsidRPr="005E10E0">
        <w:rPr>
          <w:b/>
          <w:bCs/>
        </w:rPr>
        <w:t xml:space="preserve"> (BNT122)</w:t>
      </w:r>
      <w:r w:rsidRPr="005E10E0">
        <w:t>, an individualized mRNA vaccine from BioNTech, is being evaluated in a randomized Phase II trial for patients with ctDNA-positive Stage II/III CRC after surgery, aiming to prevent recurrence [</w:t>
      </w:r>
      <w:hyperlink r:id="rId34" w:tgtFrame="_blank" w:history="1">
        <w:r w:rsidRPr="005E10E0">
          <w:rPr>
            <w:rStyle w:val="Hyperlink"/>
          </w:rPr>
          <w:t>13</w:t>
        </w:r>
      </w:hyperlink>
      <w:r w:rsidRPr="005E10E0">
        <w:t>].</w:t>
      </w:r>
    </w:p>
    <w:p w14:paraId="478A3BD6" w14:textId="77777777" w:rsidR="005E10E0" w:rsidRPr="005E10E0" w:rsidRDefault="005E10E0" w:rsidP="005E10E0">
      <w:pPr>
        <w:numPr>
          <w:ilvl w:val="0"/>
          <w:numId w:val="4"/>
        </w:numPr>
      </w:pPr>
      <w:r w:rsidRPr="005E10E0">
        <w:rPr>
          <w:b/>
          <w:bCs/>
        </w:rPr>
        <w:t>Neoantigen Peptide Vaccines:</w:t>
      </w:r>
      <w:r w:rsidRPr="005E10E0">
        <w:t> </w:t>
      </w:r>
      <w:r w:rsidRPr="005E10E0">
        <w:rPr>
          <w:b/>
          <w:bCs/>
        </w:rPr>
        <w:t>GRANITE (GRT-C901/GRT-R902)</w:t>
      </w:r>
      <w:r w:rsidRPr="005E10E0">
        <w:t> from Gritstone bio is a personalized vaccine platform. Phase II data in MSS-CRC showed a 21% relative risk reduction in disease progression (HR=0.79) and a 38% risk reduction in patients with low disease burden (HR=0.62). Mature overall survival (OS) data is a key upcoming catalyst expected in the second half of 2025. However, the company's bankruptcy filing in 2024 introduces significant execution risk [</w:t>
      </w:r>
      <w:hyperlink r:id="rId35" w:tgtFrame="_blank" w:history="1">
        <w:r w:rsidRPr="005E10E0">
          <w:rPr>
            <w:rStyle w:val="Hyperlink"/>
          </w:rPr>
          <w:t>19</w:t>
        </w:r>
      </w:hyperlink>
      <w:r w:rsidRPr="005E10E0">
        <w:t>].</w:t>
      </w:r>
    </w:p>
    <w:p w14:paraId="1D2651F8" w14:textId="77777777" w:rsidR="005E10E0" w:rsidRPr="005E10E0" w:rsidRDefault="005E10E0" w:rsidP="005E10E0">
      <w:pPr>
        <w:numPr>
          <w:ilvl w:val="0"/>
          <w:numId w:val="4"/>
        </w:numPr>
      </w:pPr>
      <w:r w:rsidRPr="005E10E0">
        <w:rPr>
          <w:b/>
          <w:bCs/>
        </w:rPr>
        <w:t>Other Pipeline Vaccines:</w:t>
      </w:r>
      <w:r w:rsidRPr="005E10E0">
        <w:t> </w:t>
      </w:r>
      <w:r w:rsidRPr="005E10E0">
        <w:rPr>
          <w:b/>
          <w:bCs/>
        </w:rPr>
        <w:t>NOUS-209</w:t>
      </w:r>
      <w:r w:rsidRPr="005E10E0">
        <w:t>, a gene therapy-based vaccine, is currently in Phase II trials across the US and EU [</w:t>
      </w:r>
      <w:hyperlink r:id="rId36" w:tgtFrame="_blank" w:history="1">
        <w:r w:rsidRPr="005E10E0">
          <w:rPr>
            <w:rStyle w:val="Hyperlink"/>
          </w:rPr>
          <w:t>1</w:t>
        </w:r>
      </w:hyperlink>
      <w:r w:rsidRPr="005E10E0">
        <w:t>].</w:t>
      </w:r>
    </w:p>
    <w:p w14:paraId="622346AC" w14:textId="77777777" w:rsidR="005E10E0" w:rsidRPr="005E10E0" w:rsidRDefault="005E10E0" w:rsidP="005E10E0">
      <w:pPr>
        <w:rPr>
          <w:b/>
          <w:bCs/>
        </w:rPr>
      </w:pPr>
      <w:r w:rsidRPr="005E10E0">
        <w:rPr>
          <w:b/>
          <w:bCs/>
        </w:rPr>
        <w:t>D. Oncolytic Viruses (OVs)</w:t>
      </w:r>
    </w:p>
    <w:p w14:paraId="7E5B1B6F" w14:textId="77777777" w:rsidR="005E10E0" w:rsidRPr="005E10E0" w:rsidRDefault="005E10E0" w:rsidP="005E10E0">
      <w:r w:rsidRPr="005E10E0">
        <w:t>OVs are viruses engineered to selectively infect and kill cancer cells (oncolysis) while also triggering a potent anti-tumor immune response, effectively turning "cold" tumors "hot."</w:t>
      </w:r>
    </w:p>
    <w:p w14:paraId="08386132" w14:textId="77777777" w:rsidR="005E10E0" w:rsidRPr="005E10E0" w:rsidRDefault="005E10E0" w:rsidP="005E10E0">
      <w:pPr>
        <w:numPr>
          <w:ilvl w:val="0"/>
          <w:numId w:val="5"/>
        </w:numPr>
      </w:pPr>
      <w:r w:rsidRPr="005E10E0">
        <w:rPr>
          <w:b/>
          <w:bCs/>
        </w:rPr>
        <w:t>Pipeline Overview:</w:t>
      </w:r>
      <w:r w:rsidRPr="005E10E0">
        <w:t> A 2025 review highlights six leading OV platforms under investigation for CRC, including adenovirus, HSV, and reovirus [</w:t>
      </w:r>
      <w:hyperlink r:id="rId37" w:tgtFrame="_blank" w:history="1">
        <w:r w:rsidRPr="005E10E0">
          <w:rPr>
            <w:rStyle w:val="Hyperlink"/>
          </w:rPr>
          <w:t>15</w:t>
        </w:r>
      </w:hyperlink>
      <w:r w:rsidRPr="005E10E0">
        <w:t>].</w:t>
      </w:r>
    </w:p>
    <w:p w14:paraId="75F575FB" w14:textId="77777777" w:rsidR="005E10E0" w:rsidRPr="005E10E0" w:rsidRDefault="005E10E0" w:rsidP="005E10E0">
      <w:pPr>
        <w:numPr>
          <w:ilvl w:val="0"/>
          <w:numId w:val="5"/>
        </w:numPr>
      </w:pPr>
      <w:proofErr w:type="spellStart"/>
      <w:r w:rsidRPr="005E10E0">
        <w:rPr>
          <w:b/>
          <w:bCs/>
        </w:rPr>
        <w:lastRenderedPageBreak/>
        <w:t>Pelareorep</w:t>
      </w:r>
      <w:proofErr w:type="spellEnd"/>
      <w:r w:rsidRPr="005E10E0">
        <w:rPr>
          <w:b/>
          <w:bCs/>
        </w:rPr>
        <w:t xml:space="preserve"> (</w:t>
      </w:r>
      <w:proofErr w:type="spellStart"/>
      <w:r w:rsidRPr="005E10E0">
        <w:rPr>
          <w:b/>
          <w:bCs/>
        </w:rPr>
        <w:t>Reolysin</w:t>
      </w:r>
      <w:proofErr w:type="spellEnd"/>
      <w:r w:rsidRPr="005E10E0">
        <w:rPr>
          <w:b/>
          <w:bCs/>
        </w:rPr>
        <w:t>):</w:t>
      </w:r>
      <w:r w:rsidRPr="005E10E0">
        <w:t> This oncolytic reovirus is in Phase II development in the UK and Phase I in the US for CRC [</w:t>
      </w:r>
      <w:hyperlink r:id="rId38" w:tgtFrame="_blank" w:history="1">
        <w:r w:rsidRPr="005E10E0">
          <w:rPr>
            <w:rStyle w:val="Hyperlink"/>
          </w:rPr>
          <w:t>1</w:t>
        </w:r>
      </w:hyperlink>
      <w:r w:rsidRPr="005E10E0">
        <w:t>].</w:t>
      </w:r>
    </w:p>
    <w:p w14:paraId="64BC0E93" w14:textId="77777777" w:rsidR="005E10E0" w:rsidRPr="005E10E0" w:rsidRDefault="005E10E0" w:rsidP="005E10E0">
      <w:pPr>
        <w:numPr>
          <w:ilvl w:val="0"/>
          <w:numId w:val="5"/>
        </w:numPr>
      </w:pPr>
      <w:r w:rsidRPr="005E10E0">
        <w:rPr>
          <w:b/>
          <w:bCs/>
        </w:rPr>
        <w:t>Combination with ICIs:</w:t>
      </w:r>
      <w:r w:rsidRPr="005E10E0">
        <w:t> The Phase I/II trial of </w:t>
      </w:r>
      <w:r w:rsidRPr="005E10E0">
        <w:rPr>
          <w:b/>
          <w:bCs/>
        </w:rPr>
        <w:t>Pexa-Vec</w:t>
      </w:r>
      <w:r w:rsidRPr="005E10E0">
        <w:t> (a vaccinia virus) combined with a checkpoint inhibitor is exploring this strategy in refractory CRC, aiming to sensitize tumors to immunotherapy [</w:t>
      </w:r>
      <w:hyperlink r:id="rId39" w:tgtFrame="_blank" w:history="1">
        <w:r w:rsidRPr="005E10E0">
          <w:rPr>
            <w:rStyle w:val="Hyperlink"/>
          </w:rPr>
          <w:t>16</w:t>
        </w:r>
      </w:hyperlink>
      <w:r w:rsidRPr="005E10E0">
        <w:t>].</w:t>
      </w:r>
    </w:p>
    <w:p w14:paraId="1D8808ED" w14:textId="77777777" w:rsidR="005E10E0" w:rsidRPr="005E10E0" w:rsidRDefault="005E10E0" w:rsidP="005E10E0">
      <w:pPr>
        <w:rPr>
          <w:b/>
          <w:bCs/>
        </w:rPr>
      </w:pPr>
      <w:r w:rsidRPr="005E10E0">
        <w:rPr>
          <w:b/>
          <w:bCs/>
        </w:rPr>
        <w:t>E. Other Novel Immunomodulatory Agents</w:t>
      </w:r>
    </w:p>
    <w:p w14:paraId="06CB38AE" w14:textId="77777777" w:rsidR="005E10E0" w:rsidRPr="005E10E0" w:rsidRDefault="005E10E0" w:rsidP="005E10E0">
      <w:r w:rsidRPr="005E10E0">
        <w:t>The pipeline also includes other immunomodulatory classes in late-stage development.</w:t>
      </w:r>
    </w:p>
    <w:tbl>
      <w:tblPr>
        <w:tblW w:w="0" w:type="auto"/>
        <w:tblInd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98"/>
        <w:gridCol w:w="2590"/>
        <w:gridCol w:w="1540"/>
        <w:gridCol w:w="992"/>
        <w:gridCol w:w="2155"/>
      </w:tblGrid>
      <w:tr w:rsidR="005E10E0" w:rsidRPr="005E10E0" w14:paraId="7AD70157"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3D4A10C0" w14:textId="77777777" w:rsidR="005E10E0" w:rsidRPr="005E10E0" w:rsidRDefault="005E10E0" w:rsidP="005E10E0">
            <w:r w:rsidRPr="005E10E0">
              <w:t>Modality</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5D716FAA" w14:textId="77777777" w:rsidR="005E10E0" w:rsidRPr="005E10E0" w:rsidRDefault="005E10E0" w:rsidP="005E10E0">
            <w:r w:rsidRPr="005E10E0">
              <w:t>Agent</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63D5A565" w14:textId="77777777" w:rsidR="005E10E0" w:rsidRPr="005E10E0" w:rsidRDefault="005E10E0" w:rsidP="005E10E0">
            <w:r w:rsidRPr="005E10E0">
              <w:t>Target</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16370F53" w14:textId="77777777" w:rsidR="005E10E0" w:rsidRPr="005E10E0" w:rsidRDefault="005E10E0" w:rsidP="005E10E0">
            <w:r w:rsidRPr="005E10E0">
              <w:t>Phase</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5953B1C0" w14:textId="77777777" w:rsidR="005E10E0" w:rsidRPr="005E10E0" w:rsidRDefault="005E10E0" w:rsidP="005E10E0">
            <w:r w:rsidRPr="005E10E0">
              <w:t>Geographic Focus</w:t>
            </w:r>
          </w:p>
        </w:tc>
      </w:tr>
      <w:tr w:rsidR="005E10E0" w:rsidRPr="005E10E0" w14:paraId="3D929525"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255B6AB5" w14:textId="77777777" w:rsidR="005E10E0" w:rsidRPr="005E10E0" w:rsidRDefault="005E10E0" w:rsidP="005E10E0">
            <w:r w:rsidRPr="005E10E0">
              <w:rPr>
                <w:b/>
                <w:bCs/>
              </w:rPr>
              <w:t>TLR9 Agonist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F195E39" w14:textId="77777777" w:rsidR="005E10E0" w:rsidRPr="005E10E0" w:rsidRDefault="005E10E0" w:rsidP="005E10E0">
            <w:proofErr w:type="spellStart"/>
            <w:r w:rsidRPr="005E10E0">
              <w:rPr>
                <w:b/>
                <w:bCs/>
              </w:rPr>
              <w:t>Lefitolimod</w:t>
            </w:r>
            <w:proofErr w:type="spellEnd"/>
            <w:r w:rsidRPr="005E10E0">
              <w:t> (MGN-1703)</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B407A96" w14:textId="77777777" w:rsidR="005E10E0" w:rsidRPr="005E10E0" w:rsidRDefault="005E10E0" w:rsidP="005E10E0">
            <w:r w:rsidRPr="005E10E0">
              <w:t>Toll-Like Receptor 9</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3ABAA15" w14:textId="77777777" w:rsidR="005E10E0" w:rsidRPr="005E10E0" w:rsidRDefault="005E10E0" w:rsidP="005E10E0">
            <w:r w:rsidRPr="005E10E0">
              <w:t>Phase III</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BA89615" w14:textId="77777777" w:rsidR="005E10E0" w:rsidRPr="005E10E0" w:rsidRDefault="005E10E0" w:rsidP="005E10E0">
            <w:r w:rsidRPr="005E10E0">
              <w:t>USA, Germany, France, Italy, UK [</w:t>
            </w:r>
            <w:hyperlink r:id="rId40" w:tgtFrame="_blank" w:history="1">
              <w:r w:rsidRPr="005E10E0">
                <w:rPr>
                  <w:rStyle w:val="Hyperlink"/>
                </w:rPr>
                <w:t>1</w:t>
              </w:r>
            </w:hyperlink>
            <w:r w:rsidRPr="005E10E0">
              <w:t>]</w:t>
            </w:r>
          </w:p>
        </w:tc>
      </w:tr>
      <w:tr w:rsidR="005E10E0" w:rsidRPr="005E10E0" w14:paraId="3A6E3CAE"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3B708D79" w14:textId="77777777" w:rsidR="005E10E0" w:rsidRPr="005E10E0" w:rsidRDefault="005E10E0" w:rsidP="005E10E0">
            <w:r w:rsidRPr="005E10E0">
              <w:rPr>
                <w:b/>
                <w:bCs/>
              </w:rPr>
              <w:t>Antisense Oligonucleotide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7F03D69" w14:textId="77777777" w:rsidR="005E10E0" w:rsidRPr="005E10E0" w:rsidRDefault="005E10E0" w:rsidP="005E10E0">
            <w:proofErr w:type="spellStart"/>
            <w:r w:rsidRPr="005E10E0">
              <w:rPr>
                <w:b/>
                <w:bCs/>
              </w:rPr>
              <w:t>Oblimersen</w:t>
            </w:r>
            <w:proofErr w:type="spellEnd"/>
            <w:r w:rsidRPr="005E10E0">
              <w:rPr>
                <w:b/>
                <w:bCs/>
              </w:rPr>
              <w:t xml:space="preserve"> sodium</w:t>
            </w:r>
            <w:r w:rsidRPr="005E10E0">
              <w:t> (</w:t>
            </w:r>
            <w:proofErr w:type="spellStart"/>
            <w:r w:rsidRPr="005E10E0">
              <w:t>Genasense</w:t>
            </w:r>
            <w:proofErr w:type="spellEnd"/>
            <w:r w:rsidRPr="005E10E0">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670D8EA" w14:textId="77777777" w:rsidR="005E10E0" w:rsidRPr="005E10E0" w:rsidRDefault="005E10E0" w:rsidP="005E10E0">
            <w:r w:rsidRPr="005E10E0">
              <w:t>BCL2 Apoptosis Regulator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23E2E79" w14:textId="77777777" w:rsidR="005E10E0" w:rsidRPr="005E10E0" w:rsidRDefault="005E10E0" w:rsidP="005E10E0">
            <w:r w:rsidRPr="005E10E0">
              <w:t>BLA/NDA</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689AAE8" w14:textId="77777777" w:rsidR="005E10E0" w:rsidRPr="005E10E0" w:rsidRDefault="005E10E0" w:rsidP="005E10E0">
            <w:r w:rsidRPr="005E10E0">
              <w:t>USA, Spain, France, UK, Germany, Italy [</w:t>
            </w:r>
            <w:hyperlink r:id="rId41" w:tgtFrame="_blank" w:history="1">
              <w:r w:rsidRPr="005E10E0">
                <w:rPr>
                  <w:rStyle w:val="Hyperlink"/>
                </w:rPr>
                <w:t>1</w:t>
              </w:r>
            </w:hyperlink>
            <w:r w:rsidRPr="005E10E0">
              <w:t>]</w:t>
            </w:r>
          </w:p>
        </w:tc>
      </w:tr>
      <w:tr w:rsidR="005E10E0" w:rsidRPr="005E10E0" w14:paraId="4977924A"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321AB41B" w14:textId="77777777" w:rsidR="005E10E0" w:rsidRPr="005E10E0" w:rsidRDefault="005E10E0" w:rsidP="005E10E0">
            <w:r w:rsidRPr="005E10E0">
              <w:rPr>
                <w:b/>
                <w:bCs/>
              </w:rPr>
              <w:t>Antisense Oligonucleotide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57C41EE" w14:textId="77777777" w:rsidR="005E10E0" w:rsidRPr="005E10E0" w:rsidRDefault="005E10E0" w:rsidP="005E10E0">
            <w:proofErr w:type="spellStart"/>
            <w:r w:rsidRPr="005E10E0">
              <w:rPr>
                <w:b/>
                <w:bCs/>
              </w:rPr>
              <w:t>Trabedersen</w:t>
            </w:r>
            <w:proofErr w:type="spellEnd"/>
            <w:r w:rsidRPr="005E10E0">
              <w:t> (AP-12009)</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AFA244C" w14:textId="77777777" w:rsidR="005E10E0" w:rsidRPr="005E10E0" w:rsidRDefault="005E10E0" w:rsidP="005E10E0">
            <w:r w:rsidRPr="005E10E0">
              <w:t>TGF-β2</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94F5378" w14:textId="77777777" w:rsidR="005E10E0" w:rsidRPr="005E10E0" w:rsidRDefault="005E10E0" w:rsidP="005E10E0">
            <w:r w:rsidRPr="005E10E0">
              <w:t>Phase III</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34216F4" w14:textId="77777777" w:rsidR="005E10E0" w:rsidRPr="005E10E0" w:rsidRDefault="005E10E0" w:rsidP="005E10E0">
            <w:r w:rsidRPr="005E10E0">
              <w:t>USA, Germany [</w:t>
            </w:r>
            <w:hyperlink r:id="rId42" w:tgtFrame="_blank" w:history="1">
              <w:r w:rsidRPr="005E10E0">
                <w:rPr>
                  <w:rStyle w:val="Hyperlink"/>
                </w:rPr>
                <w:t>1</w:t>
              </w:r>
            </w:hyperlink>
            <w:r w:rsidRPr="005E10E0">
              <w:t>]</w:t>
            </w:r>
          </w:p>
        </w:tc>
      </w:tr>
    </w:tbl>
    <w:p w14:paraId="0B340045" w14:textId="77777777" w:rsidR="005E10E0" w:rsidRPr="005E10E0" w:rsidRDefault="005E10E0" w:rsidP="005E10E0">
      <w:pPr>
        <w:rPr>
          <w:b/>
          <w:bCs/>
        </w:rPr>
      </w:pPr>
      <w:r w:rsidRPr="005E10E0">
        <w:rPr>
          <w:b/>
          <w:bCs/>
        </w:rPr>
        <w:t>III. Key Development Trends and Future Outlook (2025–2027)</w:t>
      </w:r>
    </w:p>
    <w:p w14:paraId="64FB134F" w14:textId="77777777" w:rsidR="005E10E0" w:rsidRPr="005E10E0" w:rsidRDefault="005E10E0" w:rsidP="005E10E0">
      <w:pPr>
        <w:rPr>
          <w:b/>
          <w:bCs/>
        </w:rPr>
      </w:pPr>
      <w:r w:rsidRPr="005E10E0">
        <w:rPr>
          <w:b/>
          <w:bCs/>
        </w:rPr>
        <w:t>A. The Rise of Combination Strategies</w:t>
      </w:r>
    </w:p>
    <w:p w14:paraId="0F20990A" w14:textId="77777777" w:rsidR="005E10E0" w:rsidRPr="005E10E0" w:rsidRDefault="005E10E0" w:rsidP="005E10E0">
      <w:r w:rsidRPr="005E10E0">
        <w:t>The future of CRC immunotherapy, especially for MSS tumors, lies in intelligent combinations.</w:t>
      </w:r>
    </w:p>
    <w:p w14:paraId="709BD837" w14:textId="77777777" w:rsidR="005E10E0" w:rsidRPr="005E10E0" w:rsidRDefault="005E10E0" w:rsidP="005E10E0">
      <w:pPr>
        <w:numPr>
          <w:ilvl w:val="0"/>
          <w:numId w:val="6"/>
        </w:numPr>
      </w:pPr>
      <w:r w:rsidRPr="005E10E0">
        <w:rPr>
          <w:b/>
          <w:bCs/>
        </w:rPr>
        <w:t>Neoadjuvant Immunotherapy:</w:t>
      </w:r>
      <w:r w:rsidRPr="005E10E0">
        <w:t> The </w:t>
      </w:r>
      <w:r w:rsidRPr="005E10E0">
        <w:rPr>
          <w:b/>
          <w:bCs/>
        </w:rPr>
        <w:t>NICHE-2 trial</w:t>
      </w:r>
      <w:r w:rsidRPr="005E10E0">
        <w:t xml:space="preserve"> produced stunning results in </w:t>
      </w:r>
      <w:proofErr w:type="spellStart"/>
      <w:r w:rsidRPr="005E10E0">
        <w:t>dMMR</w:t>
      </w:r>
      <w:proofErr w:type="spellEnd"/>
      <w:r w:rsidRPr="005E10E0">
        <w:t xml:space="preserve"> colon cancer, where neoadjuvant (pre-surgical) treatment with ipilimumab and nivolumab led to a </w:t>
      </w:r>
      <w:r w:rsidRPr="005E10E0">
        <w:rPr>
          <w:b/>
          <w:bCs/>
        </w:rPr>
        <w:t>98% pathological response</w:t>
      </w:r>
      <w:r w:rsidRPr="005E10E0">
        <w:t> and a 68% pathological complete response (</w:t>
      </w:r>
      <w:proofErr w:type="spellStart"/>
      <w:r w:rsidRPr="005E10E0">
        <w:t>pCR</w:t>
      </w:r>
      <w:proofErr w:type="spellEnd"/>
      <w:r w:rsidRPr="005E10E0">
        <w:t>), with low rates of severe toxicity (&lt;4%) [</w:t>
      </w:r>
      <w:hyperlink r:id="rId43" w:tgtFrame="_blank" w:history="1">
        <w:r w:rsidRPr="005E10E0">
          <w:rPr>
            <w:rStyle w:val="Hyperlink"/>
          </w:rPr>
          <w:t>17</w:t>
        </w:r>
      </w:hyperlink>
      <w:r w:rsidRPr="005E10E0">
        <w:t xml:space="preserve">]. This is poised to change practice for </w:t>
      </w:r>
      <w:proofErr w:type="gramStart"/>
      <w:r w:rsidRPr="005E10E0">
        <w:t>early-stage</w:t>
      </w:r>
      <w:proofErr w:type="gramEnd"/>
      <w:r w:rsidRPr="005E10E0">
        <w:t xml:space="preserve"> </w:t>
      </w:r>
      <w:proofErr w:type="spellStart"/>
      <w:r w:rsidRPr="005E10E0">
        <w:t>dMMR</w:t>
      </w:r>
      <w:proofErr w:type="spellEnd"/>
      <w:r w:rsidRPr="005E10E0">
        <w:t xml:space="preserve"> disease.</w:t>
      </w:r>
    </w:p>
    <w:p w14:paraId="25C2B00A" w14:textId="77777777" w:rsidR="005E10E0" w:rsidRPr="005E10E0" w:rsidRDefault="005E10E0" w:rsidP="005E10E0">
      <w:pPr>
        <w:numPr>
          <w:ilvl w:val="0"/>
          <w:numId w:val="6"/>
        </w:numPr>
      </w:pPr>
      <w:r w:rsidRPr="005E10E0">
        <w:rPr>
          <w:b/>
          <w:bCs/>
        </w:rPr>
        <w:t>ICI + Chemotherapy:</w:t>
      </w:r>
      <w:r w:rsidRPr="005E10E0">
        <w:t> The </w:t>
      </w:r>
      <w:r w:rsidRPr="005E10E0">
        <w:rPr>
          <w:b/>
          <w:bCs/>
        </w:rPr>
        <w:t>COMMIT trial</w:t>
      </w:r>
      <w:r w:rsidRPr="005E10E0">
        <w:t> is evaluating the addition of atezolizumab to the standard FOLFOX-bevacizumab regimen in first-line mCRC, with PFS as the primary endpoint [</w:t>
      </w:r>
      <w:hyperlink r:id="rId44" w:tgtFrame="_blank" w:history="1">
        <w:r w:rsidRPr="005E10E0">
          <w:rPr>
            <w:rStyle w:val="Hyperlink"/>
          </w:rPr>
          <w:t>18</w:t>
        </w:r>
      </w:hyperlink>
      <w:r w:rsidRPr="005E10E0">
        <w:t>].</w:t>
      </w:r>
    </w:p>
    <w:p w14:paraId="38E8456D" w14:textId="77777777" w:rsidR="005E10E0" w:rsidRPr="005E10E0" w:rsidRDefault="005E10E0" w:rsidP="005E10E0">
      <w:pPr>
        <w:numPr>
          <w:ilvl w:val="0"/>
          <w:numId w:val="6"/>
        </w:numPr>
      </w:pPr>
      <w:r w:rsidRPr="005E10E0">
        <w:rPr>
          <w:b/>
          <w:bCs/>
        </w:rPr>
        <w:t>ICI + Targeted Therapy (TKI):</w:t>
      </w:r>
      <w:r w:rsidRPr="005E10E0">
        <w:t> The Phase III </w:t>
      </w:r>
      <w:r w:rsidRPr="005E10E0">
        <w:rPr>
          <w:b/>
          <w:bCs/>
        </w:rPr>
        <w:t>STELLAR-303</w:t>
      </w:r>
      <w:r w:rsidRPr="005E10E0">
        <w:t> trial is testing </w:t>
      </w:r>
      <w:proofErr w:type="spellStart"/>
      <w:r w:rsidRPr="005E10E0">
        <w:rPr>
          <w:b/>
          <w:bCs/>
        </w:rPr>
        <w:t>zanzalintinib</w:t>
      </w:r>
      <w:proofErr w:type="spellEnd"/>
      <w:r w:rsidRPr="005E10E0">
        <w:t xml:space="preserve"> (a multi-targeted TKI) with atezolizumab. Phase </w:t>
      </w:r>
      <w:proofErr w:type="spellStart"/>
      <w:r w:rsidRPr="005E10E0">
        <w:t>Ib</w:t>
      </w:r>
      <w:proofErr w:type="spellEnd"/>
      <w:r w:rsidRPr="005E10E0">
        <w:t xml:space="preserve"> data showed an encouraging median OS of 14.3 months for the combination, with top-line results expected in H2 2025. However, the OS improvement did not achieve statistical </w:t>
      </w:r>
      <w:r w:rsidRPr="005E10E0">
        <w:lastRenderedPageBreak/>
        <w:t>significance in the early data (HR 0.75, 95% CI 0.45-1.26), representing a key risk [</w:t>
      </w:r>
      <w:hyperlink r:id="rId45" w:tgtFrame="_blank" w:history="1">
        <w:r w:rsidRPr="005E10E0">
          <w:rPr>
            <w:rStyle w:val="Hyperlink"/>
          </w:rPr>
          <w:t>19</w:t>
        </w:r>
      </w:hyperlink>
      <w:r w:rsidRPr="005E10E0">
        <w:t>].</w:t>
      </w:r>
    </w:p>
    <w:p w14:paraId="41BC3F9D" w14:textId="77777777" w:rsidR="005E10E0" w:rsidRPr="005E10E0" w:rsidRDefault="005E10E0" w:rsidP="005E10E0">
      <w:pPr>
        <w:rPr>
          <w:b/>
          <w:bCs/>
        </w:rPr>
      </w:pPr>
      <w:r w:rsidRPr="005E10E0">
        <w:rPr>
          <w:b/>
          <w:bCs/>
        </w:rPr>
        <w:t>B. Forward-Looking Pipeline Catalysts (2025–2026)</w:t>
      </w:r>
    </w:p>
    <w:p w14:paraId="6DE13BC8" w14:textId="77777777" w:rsidR="005E10E0" w:rsidRPr="005E10E0" w:rsidRDefault="005E10E0" w:rsidP="005E10E0">
      <w:r w:rsidRPr="005E10E0">
        <w:t>Several pivotal data readouts are expected to shape the landscape in the near term.</w:t>
      </w:r>
    </w:p>
    <w:tbl>
      <w:tblPr>
        <w:tblW w:w="0" w:type="auto"/>
        <w:tblInd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53"/>
        <w:gridCol w:w="1455"/>
        <w:gridCol w:w="672"/>
        <w:gridCol w:w="1208"/>
        <w:gridCol w:w="4287"/>
      </w:tblGrid>
      <w:tr w:rsidR="005E10E0" w:rsidRPr="005E10E0" w14:paraId="55259774"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74BF4803" w14:textId="77777777" w:rsidR="005E10E0" w:rsidRPr="005E10E0" w:rsidRDefault="005E10E0" w:rsidP="005E10E0">
            <w:r w:rsidRPr="005E10E0">
              <w:t>Drug / Program</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693A8BB4" w14:textId="77777777" w:rsidR="005E10E0" w:rsidRPr="005E10E0" w:rsidRDefault="005E10E0" w:rsidP="005E10E0">
            <w:r w:rsidRPr="005E10E0">
              <w:t>Company</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060E78E6" w14:textId="77777777" w:rsidR="005E10E0" w:rsidRPr="005E10E0" w:rsidRDefault="005E10E0" w:rsidP="005E10E0">
            <w:r w:rsidRPr="005E10E0">
              <w:t>Phase</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7440B05F" w14:textId="77777777" w:rsidR="005E10E0" w:rsidRPr="005E10E0" w:rsidRDefault="005E10E0" w:rsidP="005E10E0">
            <w:r w:rsidRPr="005E10E0">
              <w:t>Expected Timeline</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70BB1BC7" w14:textId="77777777" w:rsidR="005E10E0" w:rsidRPr="005E10E0" w:rsidRDefault="005E10E0" w:rsidP="005E10E0">
            <w:r w:rsidRPr="005E10E0">
              <w:t>Catalyst &amp; Potential Impact</w:t>
            </w:r>
          </w:p>
        </w:tc>
      </w:tr>
      <w:tr w:rsidR="005E10E0" w:rsidRPr="005E10E0" w14:paraId="063BABDC"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1E302837" w14:textId="77777777" w:rsidR="005E10E0" w:rsidRPr="005E10E0" w:rsidRDefault="005E10E0" w:rsidP="005E10E0">
            <w:proofErr w:type="spellStart"/>
            <w:r w:rsidRPr="005E10E0">
              <w:rPr>
                <w:b/>
                <w:bCs/>
              </w:rPr>
              <w:t>Zanzalintinib</w:t>
            </w:r>
            <w:proofErr w:type="spellEnd"/>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8838F1C" w14:textId="77777777" w:rsidR="005E10E0" w:rsidRPr="005E10E0" w:rsidRDefault="005E10E0" w:rsidP="005E10E0">
            <w:r w:rsidRPr="005E10E0">
              <w:t>Exelixis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A1609CD" w14:textId="77777777" w:rsidR="005E10E0" w:rsidRPr="005E10E0" w:rsidRDefault="005E10E0" w:rsidP="005E10E0">
            <w:r w:rsidRPr="005E10E0">
              <w:t>III</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A82D524" w14:textId="77777777" w:rsidR="005E10E0" w:rsidRPr="005E10E0" w:rsidRDefault="005E10E0" w:rsidP="005E10E0">
            <w:r w:rsidRPr="005E10E0">
              <w:rPr>
                <w:b/>
                <w:bCs/>
              </w:rPr>
              <w:t>July-Dec 2025</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8378D7B" w14:textId="77777777" w:rsidR="005E10E0" w:rsidRPr="005E10E0" w:rsidRDefault="005E10E0" w:rsidP="005E10E0">
            <w:r w:rsidRPr="005E10E0">
              <w:t>Top-line results from STELLAR-303; could establish a new ICI + TKI combination for CRC [</w:t>
            </w:r>
            <w:hyperlink r:id="rId46" w:tgtFrame="_blank" w:history="1">
              <w:r w:rsidRPr="005E10E0">
                <w:rPr>
                  <w:rStyle w:val="Hyperlink"/>
                </w:rPr>
                <w:t>19</w:t>
              </w:r>
            </w:hyperlink>
            <w:r w:rsidRPr="005E10E0">
              <w:t>].</w:t>
            </w:r>
          </w:p>
        </w:tc>
      </w:tr>
      <w:tr w:rsidR="005E10E0" w:rsidRPr="005E10E0" w14:paraId="5849A599"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3A3CDA48" w14:textId="77777777" w:rsidR="005E10E0" w:rsidRPr="005E10E0" w:rsidRDefault="005E10E0" w:rsidP="005E10E0">
            <w:r w:rsidRPr="005E10E0">
              <w:rPr>
                <w:b/>
                <w:bCs/>
              </w:rPr>
              <w:t>GRANITE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B8EE14F" w14:textId="77777777" w:rsidR="005E10E0" w:rsidRPr="005E10E0" w:rsidRDefault="005E10E0" w:rsidP="005E10E0">
            <w:r w:rsidRPr="005E10E0">
              <w:t>Gritstone bio</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36675C8" w14:textId="77777777" w:rsidR="005E10E0" w:rsidRPr="005E10E0" w:rsidRDefault="005E10E0" w:rsidP="005E10E0">
            <w:r w:rsidRPr="005E10E0">
              <w:t>II/III</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CC14A94" w14:textId="77777777" w:rsidR="005E10E0" w:rsidRPr="005E10E0" w:rsidRDefault="005E10E0" w:rsidP="005E10E0">
            <w:r w:rsidRPr="005E10E0">
              <w:rPr>
                <w:b/>
                <w:bCs/>
              </w:rPr>
              <w:t>July-Dec 2025</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E56F033" w14:textId="77777777" w:rsidR="005E10E0" w:rsidRPr="005E10E0" w:rsidRDefault="005E10E0" w:rsidP="005E10E0">
            <w:r w:rsidRPr="005E10E0">
              <w:t>Mature OS data; a positive result could validate personalized vaccines for MSS-CRC, pending resolution of corporate issues [</w:t>
            </w:r>
            <w:hyperlink r:id="rId47" w:tgtFrame="_blank" w:history="1">
              <w:r w:rsidRPr="005E10E0">
                <w:rPr>
                  <w:rStyle w:val="Hyperlink"/>
                </w:rPr>
                <w:t>19</w:t>
              </w:r>
            </w:hyperlink>
            <w:r w:rsidRPr="005E10E0">
              <w:t>].</w:t>
            </w:r>
          </w:p>
        </w:tc>
      </w:tr>
      <w:tr w:rsidR="005E10E0" w:rsidRPr="005E10E0" w14:paraId="670B9D5A"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1C62CCF4" w14:textId="77777777" w:rsidR="005E10E0" w:rsidRPr="005E10E0" w:rsidRDefault="005E10E0" w:rsidP="005E10E0">
            <w:r w:rsidRPr="005E10E0">
              <w:rPr>
                <w:b/>
                <w:bCs/>
              </w:rPr>
              <w:t>CFT-1946</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55D7579" w14:textId="77777777" w:rsidR="005E10E0" w:rsidRPr="005E10E0" w:rsidRDefault="005E10E0" w:rsidP="005E10E0">
            <w:r w:rsidRPr="005E10E0">
              <w:t>C4 Therapeutics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D706BB6" w14:textId="77777777" w:rsidR="005E10E0" w:rsidRPr="005E10E0" w:rsidRDefault="005E10E0" w:rsidP="005E10E0">
            <w:r w:rsidRPr="005E10E0">
              <w:t>I/II</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CE10D45" w14:textId="77777777" w:rsidR="005E10E0" w:rsidRPr="005E10E0" w:rsidRDefault="005E10E0" w:rsidP="005E10E0">
            <w:r w:rsidRPr="005E10E0">
              <w:rPr>
                <w:b/>
                <w:bCs/>
              </w:rPr>
              <w:t>July-Dec 2025</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0C6D5FB" w14:textId="77777777" w:rsidR="005E10E0" w:rsidRPr="005E10E0" w:rsidRDefault="005E10E0" w:rsidP="005E10E0">
            <w:r w:rsidRPr="005E10E0">
              <w:t>Multiple updates for this first-in-class BRAF V600 protein degrader, including data in CRC combined with cetuximab [</w:t>
            </w:r>
            <w:hyperlink r:id="rId48" w:tgtFrame="_blank" w:history="1">
              <w:r w:rsidRPr="005E10E0">
                <w:rPr>
                  <w:rStyle w:val="Hyperlink"/>
                </w:rPr>
                <w:t>19</w:t>
              </w:r>
            </w:hyperlink>
            <w:r w:rsidRPr="005E10E0">
              <w:t>].</w:t>
            </w:r>
          </w:p>
        </w:tc>
      </w:tr>
      <w:tr w:rsidR="005E10E0" w:rsidRPr="005E10E0" w14:paraId="3CD3D321"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43A0751D" w14:textId="77777777" w:rsidR="005E10E0" w:rsidRPr="005E10E0" w:rsidRDefault="005E10E0" w:rsidP="005E10E0">
            <w:proofErr w:type="spellStart"/>
            <w:r w:rsidRPr="005E10E0">
              <w:rPr>
                <w:b/>
                <w:bCs/>
              </w:rPr>
              <w:t>Jemperli</w:t>
            </w:r>
            <w:proofErr w:type="spellEnd"/>
            <w:r w:rsidRPr="005E10E0">
              <w:rPr>
                <w:b/>
                <w:bCs/>
              </w:rPr>
              <w:t xml:space="preserve"> (</w:t>
            </w:r>
            <w:proofErr w:type="spellStart"/>
            <w:r w:rsidRPr="005E10E0">
              <w:rPr>
                <w:b/>
                <w:bCs/>
              </w:rPr>
              <w:t>Dostarlimab</w:t>
            </w:r>
            <w:proofErr w:type="spellEnd"/>
            <w:r w:rsidRPr="005E10E0">
              <w:rPr>
                <w:b/>
                <w:bCs/>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DB9C2A8" w14:textId="77777777" w:rsidR="005E10E0" w:rsidRPr="005E10E0" w:rsidRDefault="005E10E0" w:rsidP="005E10E0">
            <w:r w:rsidRPr="005E10E0">
              <w:t>GSK</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A6DA12A" w14:textId="77777777" w:rsidR="005E10E0" w:rsidRPr="005E10E0" w:rsidRDefault="005E10E0" w:rsidP="005E10E0">
            <w:r w:rsidRPr="005E10E0">
              <w:t>II</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ACCA518" w14:textId="77777777" w:rsidR="005E10E0" w:rsidRPr="005E10E0" w:rsidRDefault="005E10E0" w:rsidP="005E10E0">
            <w:r w:rsidRPr="005E10E0">
              <w:rPr>
                <w:b/>
                <w:bCs/>
              </w:rPr>
              <w:t>Jan-Dec 2026</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7E66594" w14:textId="77777777" w:rsidR="005E10E0" w:rsidRPr="005E10E0" w:rsidRDefault="005E10E0" w:rsidP="005E10E0">
            <w:r w:rsidRPr="005E10E0">
              <w:t>Top-line results from the AZUR-1 trial, potentially expanding its use in CRC [</w:t>
            </w:r>
            <w:hyperlink r:id="rId49" w:tgtFrame="_blank" w:history="1">
              <w:r w:rsidRPr="005E10E0">
                <w:rPr>
                  <w:rStyle w:val="Hyperlink"/>
                </w:rPr>
                <w:t>19</w:t>
              </w:r>
            </w:hyperlink>
            <w:r w:rsidRPr="005E10E0">
              <w:t>].</w:t>
            </w:r>
          </w:p>
        </w:tc>
      </w:tr>
      <w:tr w:rsidR="005E10E0" w:rsidRPr="005E10E0" w14:paraId="41B6B60F"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25577633" w14:textId="77777777" w:rsidR="005E10E0" w:rsidRPr="005E10E0" w:rsidRDefault="005E10E0" w:rsidP="005E10E0">
            <w:r w:rsidRPr="005E10E0">
              <w:rPr>
                <w:b/>
                <w:bCs/>
              </w:rPr>
              <w:t>BA3182</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75E5ADF" w14:textId="77777777" w:rsidR="005E10E0" w:rsidRPr="005E10E0" w:rsidRDefault="005E10E0" w:rsidP="005E10E0">
            <w:proofErr w:type="spellStart"/>
            <w:r w:rsidRPr="005E10E0">
              <w:t>BioAtla</w:t>
            </w:r>
            <w:proofErr w:type="spellEnd"/>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9D0D668" w14:textId="77777777" w:rsidR="005E10E0" w:rsidRPr="005E10E0" w:rsidRDefault="005E10E0" w:rsidP="005E10E0">
            <w:r w:rsidRPr="005E10E0">
              <w:t>I/II</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BBE32DE" w14:textId="77777777" w:rsidR="005E10E0" w:rsidRPr="005E10E0" w:rsidRDefault="005E10E0" w:rsidP="005E10E0">
            <w:r w:rsidRPr="005E10E0">
              <w:rPr>
                <w:b/>
                <w:bCs/>
              </w:rPr>
              <w:t>Jan-June 2026</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AB23562" w14:textId="77777777" w:rsidR="005E10E0" w:rsidRPr="005E10E0" w:rsidRDefault="005E10E0" w:rsidP="005E10E0">
            <w:r w:rsidRPr="005E10E0">
              <w:t xml:space="preserve">Dose expansion readout for this </w:t>
            </w:r>
            <w:proofErr w:type="spellStart"/>
            <w:r w:rsidRPr="005E10E0">
              <w:t>EpCAM</w:t>
            </w:r>
            <w:proofErr w:type="spellEnd"/>
            <w:r w:rsidRPr="005E10E0">
              <w:t>/CD3 bispecific antibody, providing further proof-of-concept [</w:t>
            </w:r>
            <w:hyperlink r:id="rId50" w:tgtFrame="_blank" w:history="1">
              <w:r w:rsidRPr="005E10E0">
                <w:rPr>
                  <w:rStyle w:val="Hyperlink"/>
                </w:rPr>
                <w:t>19</w:t>
              </w:r>
            </w:hyperlink>
            <w:r w:rsidRPr="005E10E0">
              <w:t>].</w:t>
            </w:r>
          </w:p>
        </w:tc>
      </w:tr>
    </w:tbl>
    <w:p w14:paraId="197345E7" w14:textId="77777777" w:rsidR="005E10E0" w:rsidRPr="005E10E0" w:rsidRDefault="005E10E0" w:rsidP="005E10E0">
      <w:pPr>
        <w:rPr>
          <w:b/>
          <w:bCs/>
        </w:rPr>
      </w:pPr>
      <w:r w:rsidRPr="005E10E0">
        <w:rPr>
          <w:b/>
          <w:bCs/>
        </w:rPr>
        <w:t>C. Evolution of Biomarkers</w:t>
      </w:r>
    </w:p>
    <w:p w14:paraId="764D6A55" w14:textId="77777777" w:rsidR="005E10E0" w:rsidRPr="005E10E0" w:rsidRDefault="005E10E0" w:rsidP="005E10E0">
      <w:r w:rsidRPr="005E10E0">
        <w:t>While MSI-H/</w:t>
      </w:r>
      <w:proofErr w:type="spellStart"/>
      <w:r w:rsidRPr="005E10E0">
        <w:t>dMMR</w:t>
      </w:r>
      <w:proofErr w:type="spellEnd"/>
      <w:r w:rsidRPr="005E10E0">
        <w:t xml:space="preserve"> remains the only validated biomarker for approved ICIs, the pipeline is exploring new selection strategies:</w:t>
      </w:r>
    </w:p>
    <w:p w14:paraId="12F540A8" w14:textId="77777777" w:rsidR="005E10E0" w:rsidRPr="005E10E0" w:rsidRDefault="005E10E0" w:rsidP="005E10E0">
      <w:pPr>
        <w:numPr>
          <w:ilvl w:val="0"/>
          <w:numId w:val="7"/>
        </w:numPr>
      </w:pPr>
      <w:r w:rsidRPr="005E10E0">
        <w:rPr>
          <w:b/>
          <w:bCs/>
        </w:rPr>
        <w:t>Circulating Tumor DNA (ctDNA):</w:t>
      </w:r>
      <w:r w:rsidRPr="005E10E0">
        <w:t> The GRANITE vaccine program uses ctDNA levels to select patients and monitor response, with low baseline ctDNA correlating with better outcomes [</w:t>
      </w:r>
      <w:hyperlink r:id="rId51" w:tgtFrame="_blank" w:history="1">
        <w:r w:rsidRPr="005E10E0">
          <w:rPr>
            <w:rStyle w:val="Hyperlink"/>
          </w:rPr>
          <w:t>19</w:t>
        </w:r>
      </w:hyperlink>
      <w:r w:rsidRPr="005E10E0">
        <w:t>].</w:t>
      </w:r>
    </w:p>
    <w:p w14:paraId="65BE3795" w14:textId="77777777" w:rsidR="005E10E0" w:rsidRPr="005E10E0" w:rsidRDefault="005E10E0" w:rsidP="005E10E0">
      <w:pPr>
        <w:numPr>
          <w:ilvl w:val="0"/>
          <w:numId w:val="7"/>
        </w:numPr>
      </w:pPr>
      <w:r w:rsidRPr="005E10E0">
        <w:rPr>
          <w:b/>
          <w:bCs/>
        </w:rPr>
        <w:t>Tumor Antigens:</w:t>
      </w:r>
      <w:r w:rsidRPr="005E10E0">
        <w:t> The success of CAR-T and bispecific antibodies will depend on the expression levels of targets like GUCY2C, CEA, and Claudin18.2.</w:t>
      </w:r>
    </w:p>
    <w:p w14:paraId="4D674511" w14:textId="77777777" w:rsidR="005E10E0" w:rsidRPr="005E10E0" w:rsidRDefault="005E10E0" w:rsidP="005E10E0">
      <w:pPr>
        <w:numPr>
          <w:ilvl w:val="0"/>
          <w:numId w:val="7"/>
        </w:numPr>
      </w:pPr>
      <w:r w:rsidRPr="005E10E0">
        <w:rPr>
          <w:b/>
          <w:bCs/>
        </w:rPr>
        <w:lastRenderedPageBreak/>
        <w:t>Specific Mutations:</w:t>
      </w:r>
      <w:r w:rsidRPr="005E10E0">
        <w:t> The KRAS-targeted vaccine (ELI-002) and BRAF-targeting degrader (CFT-1946) represent a move toward mutation-specific immunotherapies [</w:t>
      </w:r>
      <w:hyperlink r:id="rId52" w:tgtFrame="_blank" w:history="1">
        <w:r w:rsidRPr="005E10E0">
          <w:rPr>
            <w:rStyle w:val="Hyperlink"/>
          </w:rPr>
          <w:t>14</w:t>
        </w:r>
      </w:hyperlink>
      <w:r w:rsidRPr="005E10E0">
        <w:t>][</w:t>
      </w:r>
      <w:hyperlink r:id="rId53" w:tgtFrame="_blank" w:history="1">
        <w:r w:rsidRPr="005E10E0">
          <w:rPr>
            <w:rStyle w:val="Hyperlink"/>
          </w:rPr>
          <w:t>19</w:t>
        </w:r>
      </w:hyperlink>
      <w:r w:rsidRPr="005E10E0">
        <w:t>].</w:t>
      </w:r>
    </w:p>
    <w:p w14:paraId="0DD17346" w14:textId="77777777" w:rsidR="005E10E0" w:rsidRPr="005E10E0" w:rsidRDefault="005E10E0" w:rsidP="005E10E0">
      <w:pPr>
        <w:rPr>
          <w:b/>
          <w:bCs/>
        </w:rPr>
      </w:pPr>
      <w:r w:rsidRPr="005E10E0">
        <w:rPr>
          <w:b/>
          <w:bCs/>
        </w:rPr>
        <w:t>IV. Conclusion and Strategic Implications</w:t>
      </w:r>
    </w:p>
    <w:p w14:paraId="373FEC98" w14:textId="77777777" w:rsidR="005E10E0" w:rsidRPr="005E10E0" w:rsidRDefault="005E10E0" w:rsidP="005E10E0">
      <w:r w:rsidRPr="005E10E0">
        <w:t>The colorectal cancer immunotherapy landscape is a field of stark contrasts and immense opportunity. For the biomarker-defined MSI-H/</w:t>
      </w:r>
      <w:proofErr w:type="spellStart"/>
      <w:r w:rsidRPr="005E10E0">
        <w:t>dMMR</w:t>
      </w:r>
      <w:proofErr w:type="spellEnd"/>
      <w:r w:rsidRPr="005E10E0">
        <w:t xml:space="preserve"> population, a competitive market of highly effective checkpoint inhibitors is now firmly established as the first-line standard of care in both the US and EU.</w:t>
      </w:r>
    </w:p>
    <w:p w14:paraId="2A64447C" w14:textId="77777777" w:rsidR="005E10E0" w:rsidRPr="005E10E0" w:rsidRDefault="005E10E0" w:rsidP="005E10E0">
      <w:r w:rsidRPr="005E10E0">
        <w:t xml:space="preserve">The primary strategic imperative for the entire field is to extend the benefits of immunotherapy to </w:t>
      </w:r>
      <w:proofErr w:type="gramStart"/>
      <w:r w:rsidRPr="005E10E0">
        <w:t>the 95</w:t>
      </w:r>
      <w:proofErr w:type="gramEnd"/>
      <w:r w:rsidRPr="005E10E0">
        <w:t>% of patients with MSS-CRC. The next 2–3 years will be a critical period of validation for a host of innovative strategies. Success will likely come not from a single agent, but from personalized and multi-modal combination therapies that can overcome the immunosuppressive microenvironment of "cold" tumors. Key developments to watch include the maturation of data for personalized vaccines, the safety and efficacy of T-cell engagers and CAR-T cells, and the results of pivotal trials combining ICIs with TKIs and chemotherapy. While the path is challenging, the sheer breadth and depth of the clinical pipeline provide strong reason for optimism.</w:t>
      </w:r>
    </w:p>
    <w:p w14:paraId="39098F58" w14:textId="77777777" w:rsidR="003A3B68" w:rsidRDefault="003A3B68"/>
    <w:sectPr w:rsidR="003A3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16E8A"/>
    <w:multiLevelType w:val="multilevel"/>
    <w:tmpl w:val="FDEE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247C5C"/>
    <w:multiLevelType w:val="multilevel"/>
    <w:tmpl w:val="2C78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B10C72"/>
    <w:multiLevelType w:val="multilevel"/>
    <w:tmpl w:val="60C2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6C1073"/>
    <w:multiLevelType w:val="multilevel"/>
    <w:tmpl w:val="85E627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9B113D"/>
    <w:multiLevelType w:val="multilevel"/>
    <w:tmpl w:val="0434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803AE1"/>
    <w:multiLevelType w:val="multilevel"/>
    <w:tmpl w:val="0134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8B2528"/>
    <w:multiLevelType w:val="multilevel"/>
    <w:tmpl w:val="3ED6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4593987">
    <w:abstractNumId w:val="6"/>
  </w:num>
  <w:num w:numId="2" w16cid:durableId="249048857">
    <w:abstractNumId w:val="3"/>
  </w:num>
  <w:num w:numId="3" w16cid:durableId="393433623">
    <w:abstractNumId w:val="1"/>
  </w:num>
  <w:num w:numId="4" w16cid:durableId="561142827">
    <w:abstractNumId w:val="5"/>
  </w:num>
  <w:num w:numId="5" w16cid:durableId="1653213760">
    <w:abstractNumId w:val="0"/>
  </w:num>
  <w:num w:numId="6" w16cid:durableId="1555579395">
    <w:abstractNumId w:val="2"/>
  </w:num>
  <w:num w:numId="7" w16cid:durableId="20144109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10E0"/>
    <w:rsid w:val="001770BD"/>
    <w:rsid w:val="003A3B68"/>
    <w:rsid w:val="004B75D9"/>
    <w:rsid w:val="005E10E0"/>
    <w:rsid w:val="0079600C"/>
    <w:rsid w:val="007A2032"/>
    <w:rsid w:val="009713E1"/>
    <w:rsid w:val="00C10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A2C2"/>
  <w15:chartTrackingRefBased/>
  <w15:docId w15:val="{F75F79E6-DFB7-4457-AC19-B54484196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0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0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0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0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0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0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0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0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0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0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0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0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0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0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0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0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0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0E0"/>
    <w:rPr>
      <w:rFonts w:eastAsiaTheme="majorEastAsia" w:cstheme="majorBidi"/>
      <w:color w:val="272727" w:themeColor="text1" w:themeTint="D8"/>
    </w:rPr>
  </w:style>
  <w:style w:type="paragraph" w:styleId="Title">
    <w:name w:val="Title"/>
    <w:basedOn w:val="Normal"/>
    <w:next w:val="Normal"/>
    <w:link w:val="TitleChar"/>
    <w:uiPriority w:val="10"/>
    <w:qFormat/>
    <w:rsid w:val="005E10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0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0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0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0E0"/>
    <w:pPr>
      <w:spacing w:before="160"/>
      <w:jc w:val="center"/>
    </w:pPr>
    <w:rPr>
      <w:i/>
      <w:iCs/>
      <w:color w:val="404040" w:themeColor="text1" w:themeTint="BF"/>
    </w:rPr>
  </w:style>
  <w:style w:type="character" w:customStyle="1" w:styleId="QuoteChar">
    <w:name w:val="Quote Char"/>
    <w:basedOn w:val="DefaultParagraphFont"/>
    <w:link w:val="Quote"/>
    <w:uiPriority w:val="29"/>
    <w:rsid w:val="005E10E0"/>
    <w:rPr>
      <w:i/>
      <w:iCs/>
      <w:color w:val="404040" w:themeColor="text1" w:themeTint="BF"/>
    </w:rPr>
  </w:style>
  <w:style w:type="paragraph" w:styleId="ListParagraph">
    <w:name w:val="List Paragraph"/>
    <w:basedOn w:val="Normal"/>
    <w:uiPriority w:val="34"/>
    <w:qFormat/>
    <w:rsid w:val="005E10E0"/>
    <w:pPr>
      <w:ind w:left="720"/>
      <w:contextualSpacing/>
    </w:pPr>
  </w:style>
  <w:style w:type="character" w:styleId="IntenseEmphasis">
    <w:name w:val="Intense Emphasis"/>
    <w:basedOn w:val="DefaultParagraphFont"/>
    <w:uiPriority w:val="21"/>
    <w:qFormat/>
    <w:rsid w:val="005E10E0"/>
    <w:rPr>
      <w:i/>
      <w:iCs/>
      <w:color w:val="0F4761" w:themeColor="accent1" w:themeShade="BF"/>
    </w:rPr>
  </w:style>
  <w:style w:type="paragraph" w:styleId="IntenseQuote">
    <w:name w:val="Intense Quote"/>
    <w:basedOn w:val="Normal"/>
    <w:next w:val="Normal"/>
    <w:link w:val="IntenseQuoteChar"/>
    <w:uiPriority w:val="30"/>
    <w:qFormat/>
    <w:rsid w:val="005E10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0E0"/>
    <w:rPr>
      <w:i/>
      <w:iCs/>
      <w:color w:val="0F4761" w:themeColor="accent1" w:themeShade="BF"/>
    </w:rPr>
  </w:style>
  <w:style w:type="character" w:styleId="IntenseReference">
    <w:name w:val="Intense Reference"/>
    <w:basedOn w:val="DefaultParagraphFont"/>
    <w:uiPriority w:val="32"/>
    <w:qFormat/>
    <w:rsid w:val="005E10E0"/>
    <w:rPr>
      <w:b/>
      <w:bCs/>
      <w:smallCaps/>
      <w:color w:val="0F4761" w:themeColor="accent1" w:themeShade="BF"/>
      <w:spacing w:val="5"/>
    </w:rPr>
  </w:style>
  <w:style w:type="character" w:styleId="Hyperlink">
    <w:name w:val="Hyperlink"/>
    <w:basedOn w:val="DefaultParagraphFont"/>
    <w:uiPriority w:val="99"/>
    <w:unhideWhenUsed/>
    <w:rsid w:val="005E10E0"/>
    <w:rPr>
      <w:color w:val="467886" w:themeColor="hyperlink"/>
      <w:u w:val="single"/>
    </w:rPr>
  </w:style>
  <w:style w:type="character" w:styleId="UnresolvedMention">
    <w:name w:val="Unresolved Mention"/>
    <w:basedOn w:val="DefaultParagraphFont"/>
    <w:uiPriority w:val="99"/>
    <w:semiHidden/>
    <w:unhideWhenUsed/>
    <w:rsid w:val="005E10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oahai.co/tool/drug-compete/?search_param=%7B%22indication_name%22%3A%20%5B%22Colorectal%20cancer%22%2C%20%22Colon%20cancer%20recurrent%22%5D%2C%20%22phase%22%3A%20%5B%22Approved%22%2C%20%22BLA%2FNDA%22%5D%2C%20%22drug_modality%22%3A%20%7B%22data%22%3A%20%5B%22Monoclonal%20Antibodies%22%2C%20%22Bi-specific%20Antibodies%22%5D%2C%20%22logic%22%3A%20%22or%22%7D%2C%20%22location%22%3A%20%5B%22USA%22%2C%20%22European%20Union%22%2C%20%22Germany%22%2C%20%22France%22%2C%20%22Italy%22%2C%20%22Spain%22%2C%20%22UK%22%5D%2C%20%22top_n%22%3A%201000%7D" TargetMode="External"/><Relationship Id="rId18" Type="http://schemas.openxmlformats.org/officeDocument/2006/relationships/hyperlink" Target="https://www.noahai.co/tool/drug-compete/?search_param=%7B%22indication_name%22%3A%20%5B%22Colorectal%20cancer%22%2C%20%22Colon%20cancer%20recurrent%22%5D%2C%20%22phase%22%3A%20%5B%22Approved%22%2C%20%22BLA%2FNDA%22%5D%2C%20%22drug_modality%22%3A%20%7B%22data%22%3A%20%5B%22Monoclonal%20Antibodies%22%2C%20%22Bi-specific%20Antibodies%22%5D%2C%20%22logic%22%3A%20%22or%22%7D%2C%20%22location%22%3A%20%5B%22USA%22%2C%20%22European%20Union%22%2C%20%22Germany%22%2C%20%22France%22%2C%20%22Italy%22%2C%20%22Spain%22%2C%20%22UK%22%5D%2C%20%22top_n%22%3A%201000%7D" TargetMode="External"/><Relationship Id="rId26" Type="http://schemas.openxmlformats.org/officeDocument/2006/relationships/hyperlink" Target="https://www.cell.com/trends/cancer/fulltext/S2405-8033%2824%2900142-0" TargetMode="External"/><Relationship Id="rId39" Type="http://schemas.openxmlformats.org/officeDocument/2006/relationships/hyperlink" Target="https://clinicaltrials.gov/study/NCT03206073" TargetMode="External"/><Relationship Id="rId21" Type="http://schemas.openxmlformats.org/officeDocument/2006/relationships/hyperlink" Target="https://www.fda.gov/drugs/resources-information-approved-drugs/fda-approves-nivolumab-ipilimumab-unresectable-or-metastatic-msi-h-or-dmmr-colorectal-cancer" TargetMode="External"/><Relationship Id="rId34" Type="http://schemas.openxmlformats.org/officeDocument/2006/relationships/hyperlink" Target="https://www.biontech.com/int/en/home/pipeline-and-products/pipeline.html" TargetMode="External"/><Relationship Id="rId42" Type="http://schemas.openxmlformats.org/officeDocument/2006/relationships/hyperlink" Target="https://www.noahai.co/tool/drug-compete/?search_param=%7B%22indication_name%22%3A%20%5B%22Colorectal%20cancer%22%2C%20%22Colon%20cancer%20recurrent%22%5D%2C%20%22phase%22%3A%20%5B%22Preclinical%22%2C%20%22IND%22%2C%20%22I%22%2C%20%22II%22%2C%20%22III%22%2C%20%22BLA%2FNDA%22%2C%20%22Approved%22%5D%2C%20%22drug_modality%22%3A%20%7B%22data%22%3A%20%5B%22Others%22%5D%2C%20%22logic%22%3A%20%22or%22%7D%2C%20%22location%22%3A%20%5B%22USA%22%2C%20%22European%20Union%22%2C%20%22EU%22%2C%20%22US%22%2C%20%22Germany%22%2C%20%22France%22%2C%20%22Italy%22%2C%20%22Spain%22%2C%20%22UK%22%5D%2C%20%22top_n%22%3A%201000%7D" TargetMode="External"/><Relationship Id="rId47" Type="http://schemas.openxmlformats.org/officeDocument/2006/relationships/hyperlink" Target="https://www.noahai.co/tool/catalyst/?search_param=%7B%22phases%22%3A%20%5B%22II%22%2C%20%22III%22%5D%2C%20%22indication_name%22%3A%20%5B%22Cancer%22%2C%20%22Other%20%28Colorectal%20tumor%29%22%5D%2C%20%22catalyst_type%22%3A%20%5B%22PDUFA%20Approval%22%2C%20%22Top-Line%20Results%22%2C%20%22Trial%20Data%20Update%22%5D%2C%20%22custom_impact%22%3A%20true%2C%20%22details%22%3A%20true%2C%20%22top_n%22%3A%2030%7D" TargetMode="External"/><Relationship Id="rId50" Type="http://schemas.openxmlformats.org/officeDocument/2006/relationships/hyperlink" Target="https://www.noahai.co/tool/catalyst/?search_param=%7B%22phases%22%3A%20%5B%22II%22%2C%20%22III%22%5D%2C%20%22indication_name%22%3A%20%5B%22Cancer%22%2C%20%22Other%20%28Colorectal%20tumor%29%22%5D%2C%20%22catalyst_type%22%3A%20%5B%22PDUFA%20Approval%22%2C%20%22Top-Line%20Results%22%2C%20%22Trial%20Data%20Update%22%5D%2C%20%22custom_impact%22%3A%20true%2C%20%22details%22%3A%20true%2C%20%22top_n%22%3A%2030%7D" TargetMode="External"/><Relationship Id="rId55" Type="http://schemas.openxmlformats.org/officeDocument/2006/relationships/theme" Target="theme/theme1.xml"/><Relationship Id="rId7" Type="http://schemas.openxmlformats.org/officeDocument/2006/relationships/hyperlink" Target="https://www.fda.gov/drugs/drug-approvals-and-databases/fda-approves-pembrolizumab-first-line-treatment-msi-hdmmr-colorectal-cancer" TargetMode="External"/><Relationship Id="rId2" Type="http://schemas.openxmlformats.org/officeDocument/2006/relationships/styles" Target="styles.xml"/><Relationship Id="rId16" Type="http://schemas.openxmlformats.org/officeDocument/2006/relationships/hyperlink" Target="https://www.fda.gov/drugs/resources-information-approved-drugs/fda-grants-accelerated-approval-dostarlimab-gxly-dmmr-advanced-solid-tumors" TargetMode="External"/><Relationship Id="rId29" Type="http://schemas.openxmlformats.org/officeDocument/2006/relationships/hyperlink" Target="https://www.noahai.co/tool/catalyst/?search_param=%7B%22phases%22%3A%20%5B%22II%22%2C%20%22III%22%5D%2C%20%22indication_name%22%3A%20%5B%22Cancer%22%2C%20%22Other%20%28Colorectal%20tumor%29%22%5D%2C%20%22catalyst_type%22%3A%20%5B%22PDUFA%20Approval%22%2C%20%22Top-Line%20Results%22%2C%20%22Trial%20Data%20Update%22%5D%2C%20%22custom_impact%22%3A%20true%2C%20%22details%22%3A%20true%2C%20%22top_n%22%3A%2030%7D" TargetMode="External"/><Relationship Id="rId11" Type="http://schemas.openxmlformats.org/officeDocument/2006/relationships/hyperlink" Target="https://www.noahai.co/tool/drug-compete/?search_param=%7B%22indication_name%22%3A%20%5B%22Colorectal%20cancer%22%2C%20%22Colon%20cancer%20recurrent%22%5D%2C%20%22phase%22%3A%20%5B%22Approved%22%2C%20%22BLA%2FNDA%22%5D%2C%20%22drug_modality%22%3A%20%7B%22data%22%3A%20%5B%22Monoclonal%20Antibodies%22%2C%20%22Bi-specific%20Antibodies%22%5D%2C%20%22logic%22%3A%20%22or%22%7D%2C%20%22location%22%3A%20%5B%22USA%22%2C%20%22European%20Union%22%2C%20%22Germany%22%2C%20%22France%22%2C%20%22Italy%22%2C%20%22Spain%22%2C%20%22UK%22%5D%2C%20%22top_n%22%3A%201000%7D" TargetMode="External"/><Relationship Id="rId24" Type="http://schemas.openxmlformats.org/officeDocument/2006/relationships/hyperlink" Target="https://www.cancer.gov/news-events/cancer-currents-blog/2025/fda-nivolumab-ipilimumab-dmmr-colorectal-cancer" TargetMode="External"/><Relationship Id="rId32" Type="http://schemas.openxmlformats.org/officeDocument/2006/relationships/hyperlink" Target="https://www.targetedonc.com/view/fda-grants-orphan-drug-designation-to-novel-car-t-cell-therapy-in-colorectal-cancer" TargetMode="External"/><Relationship Id="rId37" Type="http://schemas.openxmlformats.org/officeDocument/2006/relationships/hyperlink" Target="https://pmc.ncbi.nlm.nih.gov/articles/PMC12153852/" TargetMode="External"/><Relationship Id="rId40" Type="http://schemas.openxmlformats.org/officeDocument/2006/relationships/hyperlink" Target="https://www.noahai.co/tool/drug-compete/?search_param=%7B%22indication_name%22%3A%20%5B%22Colorectal%20cancer%22%2C%20%22Colon%20cancer%20recurrent%22%5D%2C%20%22phase%22%3A%20%5B%22Preclinical%22%2C%20%22IND%22%2C%20%22I%22%2C%20%22II%22%2C%20%22III%22%2C%20%22BLA%2FNDA%22%2C%20%22Approved%22%5D%2C%20%22drug_modality%22%3A%20%7B%22data%22%3A%20%5B%22Others%22%5D%2C%20%22logic%22%3A%20%22or%22%7D%2C%20%22location%22%3A%20%5B%22USA%22%2C%20%22European%20Union%22%2C%20%22EU%22%2C%20%22US%22%2C%20%22Germany%22%2C%20%22France%22%2C%20%22Italy%22%2C%20%22Spain%22%2C%20%22UK%22%5D%2C%20%22top_n%22%3A%201000%7D" TargetMode="External"/><Relationship Id="rId45" Type="http://schemas.openxmlformats.org/officeDocument/2006/relationships/hyperlink" Target="https://www.noahai.co/tool/catalyst/?search_param=%7B%22phases%22%3A%20%5B%22II%22%2C%20%22III%22%5D%2C%20%22indication_name%22%3A%20%5B%22Cancer%22%2C%20%22Other%20%28Colorectal%20tumor%29%22%5D%2C%20%22catalyst_type%22%3A%20%5B%22PDUFA%20Approval%22%2C%20%22Top-Line%20Results%22%2C%20%22Trial%20Data%20Update%22%5D%2C%20%22custom_impact%22%3A%20true%2C%20%22details%22%3A%20true%2C%20%22top_n%22%3A%2030%7D" TargetMode="External"/><Relationship Id="rId53" Type="http://schemas.openxmlformats.org/officeDocument/2006/relationships/hyperlink" Target="https://www.noahai.co/tool/catalyst/?search_param=%7B%22phases%22%3A%20%5B%22II%22%2C%20%22III%22%5D%2C%20%22indication_name%22%3A%20%5B%22Cancer%22%2C%20%22Other%20%28Colorectal%20tumor%29%22%5D%2C%20%22catalyst_type%22%3A%20%5B%22PDUFA%20Approval%22%2C%20%22Top-Line%20Results%22%2C%20%22Trial%20Data%20Update%22%5D%2C%20%22custom_impact%22%3A%20true%2C%20%22details%22%3A%20true%2C%20%22top_n%22%3A%2030%7D" TargetMode="External"/><Relationship Id="rId5" Type="http://schemas.openxmlformats.org/officeDocument/2006/relationships/hyperlink" Target="https://www.fda.gov/media/165219/download" TargetMode="External"/><Relationship Id="rId10" Type="http://schemas.openxmlformats.org/officeDocument/2006/relationships/hyperlink" Target="https://www.fda.gov/drugs/resources-information-approved-drugs/fda-approves-nivolumab-ipilimumab-unresectable-or-metastatic-msi-h-or-dmmr-colorectal-cancer" TargetMode="External"/><Relationship Id="rId19" Type="http://schemas.openxmlformats.org/officeDocument/2006/relationships/hyperlink" Target="https://www.noahai.co/tool/drug-compete/?search_param=%7B%22indication_name%22%3A%20%5B%22Colorectal%20cancer%22%2C%20%22Colon%20cancer%20recurrent%22%5D%2C%20%22phase%22%3A%20%5B%22Approved%22%2C%20%22BLA%2FNDA%22%5D%2C%20%22drug_modality%22%3A%20%7B%22data%22%3A%20%5B%22Monoclonal%20Antibodies%22%2C%20%22Bi-specific%20Antibodies%22%5D%2C%20%22logic%22%3A%20%22or%22%7D%2C%20%22location%22%3A%20%5B%22USA%22%2C%20%22European%20Union%22%2C%20%22Germany%22%2C%20%22France%22%2C%20%22Italy%22%2C%20%22Spain%22%2C%20%22UK%22%5D%2C%20%22top_n%22%3A%201000%7D" TargetMode="External"/><Relationship Id="rId31" Type="http://schemas.openxmlformats.org/officeDocument/2006/relationships/hyperlink" Target="https://ascopubs.org/doi/10.1200/JCO-24-02081" TargetMode="External"/><Relationship Id="rId44" Type="http://schemas.openxmlformats.org/officeDocument/2006/relationships/hyperlink" Target="https://www.nrgoncology.org/Home/News/Post/pi-interview-the-commit-study-of-immunotherapy-for-dmmr-metastatic-colorectal-cancer-nrg-gi004swog-s1610" TargetMode="External"/><Relationship Id="rId52" Type="http://schemas.openxmlformats.org/officeDocument/2006/relationships/hyperlink" Target="https://elicio.com/pipeline/eli-002/" TargetMode="External"/><Relationship Id="rId4" Type="http://schemas.openxmlformats.org/officeDocument/2006/relationships/webSettings" Target="webSettings.xml"/><Relationship Id="rId9" Type="http://schemas.openxmlformats.org/officeDocument/2006/relationships/hyperlink" Target="https://www.cancer.gov/news-events/cancer-currents-blog/2025/fda-nivolumab-ipilimumab-dmmr-colorectal-cancer" TargetMode="External"/><Relationship Id="rId14" Type="http://schemas.openxmlformats.org/officeDocument/2006/relationships/hyperlink" Target="https://www.sciencedirect.com/science/article/pii/S2049080122008068" TargetMode="External"/><Relationship Id="rId22" Type="http://schemas.openxmlformats.org/officeDocument/2006/relationships/hyperlink" Target="https://www.cancer.gov/news-events/cancer-currents-blog/2025/fda-nivolumab-ipilimumab-dmmr-colorectal-cancer" TargetMode="External"/><Relationship Id="rId27" Type="http://schemas.openxmlformats.org/officeDocument/2006/relationships/hyperlink" Target="https://www.noahai.co/tool/clinical-result/?search_param=%7B%22indication_name%22%3A%20%5B%22Cancer%22%2C%20%22Other%20%28Colorectal%20tumor%29%22%5D%2C%20%22phase%22%3A%20%5B%22I%22%2C%20%22II%22%2C%20%22III%22%5D%2C%20%22drug_modality%22%3A%20%7B%22data%22%3A%20%5B%22Vaccine%22%2C%20%22Bi-specific%20Antibodies%22%2C%20%22Cell-based%20Therapies%22%5D%2C%20%22logic%22%3A%20%22or%22%7D%2C%20%22top_n%22%3A%20150%7D" TargetMode="External"/><Relationship Id="rId30" Type="http://schemas.openxmlformats.org/officeDocument/2006/relationships/hyperlink" Target="https://www.noahai.co/tool/clinical-result/?search_param=%7B%22indication_name%22%3A%20%5B%22Cancer%22%2C%20%22Other%20%28Colorectal%20tumor%29%22%5D%2C%20%22phase%22%3A%20%5B%22I%22%2C%20%22II%22%2C%20%22III%22%5D%2C%20%22drug_modality%22%3A%20%7B%22data%22%3A%20%5B%22Vaccine%22%2C%20%22Bi-specific%20Antibodies%22%2C%20%22Cell-based%20Therapies%22%5D%2C%20%22logic%22%3A%20%22or%22%7D%2C%20%22top_n%22%3A%20150%7D" TargetMode="External"/><Relationship Id="rId35" Type="http://schemas.openxmlformats.org/officeDocument/2006/relationships/hyperlink" Target="https://www.noahai.co/tool/catalyst/?search_param=%7B%22phases%22%3A%20%5B%22II%22%2C%20%22III%22%5D%2C%20%22indication_name%22%3A%20%5B%22Cancer%22%2C%20%22Other%20%28Colorectal%20tumor%29%22%5D%2C%20%22catalyst_type%22%3A%20%5B%22PDUFA%20Approval%22%2C%20%22Top-Line%20Results%22%2C%20%22Trial%20Data%20Update%22%5D%2C%20%22custom_impact%22%3A%20true%2C%20%22details%22%3A%20true%2C%20%22top_n%22%3A%2030%7D" TargetMode="External"/><Relationship Id="rId43" Type="http://schemas.openxmlformats.org/officeDocument/2006/relationships/hyperlink" Target="https://ascopubs.org/doi/10.1200/OA-24-00077" TargetMode="External"/><Relationship Id="rId48" Type="http://schemas.openxmlformats.org/officeDocument/2006/relationships/hyperlink" Target="https://www.noahai.co/tool/catalyst/?search_param=%7B%22phases%22%3A%20%5B%22II%22%2C%20%22III%22%5D%2C%20%22indication_name%22%3A%20%5B%22Cancer%22%2C%20%22Other%20%28Colorectal%20tumor%29%22%5D%2C%20%22catalyst_type%22%3A%20%5B%22PDUFA%20Approval%22%2C%20%22Top-Line%20Results%22%2C%20%22Trial%20Data%20Update%22%5D%2C%20%22custom_impact%22%3A%20true%2C%20%22details%22%3A%20true%2C%20%22top_n%22%3A%2030%7D" TargetMode="External"/><Relationship Id="rId8" Type="http://schemas.openxmlformats.org/officeDocument/2006/relationships/hyperlink" Target="https://www.noahai.co/tool/drug-compete/?search_param=%7B%22indication_name%22%3A%20%5B%22Colorectal%20cancer%22%2C%20%22Colon%20cancer%20recurrent%22%5D%2C%20%22phase%22%3A%20%5B%22Approved%22%2C%20%22BLA%2FNDA%22%5D%2C%20%22drug_modality%22%3A%20%7B%22data%22%3A%20%5B%22Monoclonal%20Antibodies%22%2C%20%22Bi-specific%20Antibodies%22%5D%2C%20%22logic%22%3A%20%22or%22%7D%2C%20%22location%22%3A%20%5B%22USA%22%2C%20%22European%20Union%22%2C%20%22Germany%22%2C%20%22France%22%2C%20%22Italy%22%2C%20%22Spain%22%2C%20%22UK%22%5D%2C%20%22top_n%22%3A%201000%7D" TargetMode="External"/><Relationship Id="rId51" Type="http://schemas.openxmlformats.org/officeDocument/2006/relationships/hyperlink" Target="https://www.noahai.co/tool/catalyst/?search_param=%7B%22phases%22%3A%20%5B%22II%22%2C%20%22III%22%5D%2C%20%22indication_name%22%3A%20%5B%22Cancer%22%2C%20%22Other%20%28Colorectal%20tumor%29%22%5D%2C%20%22catalyst_type%22%3A%20%5B%22PDUFA%20Approval%22%2C%20%22Top-Line%20Results%22%2C%20%22Trial%20Data%20Update%22%5D%2C%20%22custom_impact%22%3A%20true%2C%20%22details%22%3A%20true%2C%20%22top_n%22%3A%2030%7D" TargetMode="External"/><Relationship Id="rId3" Type="http://schemas.openxmlformats.org/officeDocument/2006/relationships/settings" Target="settings.xml"/><Relationship Id="rId12" Type="http://schemas.openxmlformats.org/officeDocument/2006/relationships/hyperlink" Target="https://www.cancer.gov/news-events/cancer-currents-blog/2025/fda-nivolumab-ipilimumab-dmmr-colorectal-cancer" TargetMode="External"/><Relationship Id="rId17" Type="http://schemas.openxmlformats.org/officeDocument/2006/relationships/hyperlink" Target="https://www.noahai.co/tool/drug-compete/?search_param=%7B%22indication_name%22%3A%20%5B%22Colorectal%20cancer%22%2C%20%22Colon%20cancer%20recurrent%22%5D%2C%20%22phase%22%3A%20%5B%22Approved%22%2C%20%22BLA%2FNDA%22%5D%2C%20%22drug_modality%22%3A%20%7B%22data%22%3A%20%5B%22Monoclonal%20Antibodies%22%2C%20%22Bi-specific%20Antibodies%22%5D%2C%20%22logic%22%3A%20%22or%22%7D%2C%20%22location%22%3A%20%5B%22USA%22%2C%20%22European%20Union%22%2C%20%22Germany%22%2C%20%22France%22%2C%20%22Italy%22%2C%20%22Spain%22%2C%20%22UK%22%5D%2C%20%22top_n%22%3A%201000%7D" TargetMode="External"/><Relationship Id="rId25" Type="http://schemas.openxmlformats.org/officeDocument/2006/relationships/hyperlink" Target="https://www.noahai.co/tool/clinical-result/?search_param=%7B%22indication_name%22%3A%20%5B%22Cancer%22%2C%20%22Other%20%28Colorectal%20tumor%29%22%5D%2C%20%22phase%22%3A%20%5B%22I%22%2C%20%22II%22%2C%20%22III%22%5D%2C%20%22drug_modality%22%3A%20%7B%22data%22%3A%20%5B%22Vaccine%22%2C%20%22Bi-specific%20Antibodies%22%2C%20%22Cell-based%20Therapies%22%5D%2C%20%22logic%22%3A%20%22or%22%7D%2C%20%22top_n%22%3A%20150%7D" TargetMode="External"/><Relationship Id="rId33" Type="http://schemas.openxmlformats.org/officeDocument/2006/relationships/hyperlink" Target="https://ascopubs.org/doi/10.1200/JCO-24-02081" TargetMode="External"/><Relationship Id="rId38" Type="http://schemas.openxmlformats.org/officeDocument/2006/relationships/hyperlink" Target="https://www.noahai.co/tool/drug-compete/?search_param=%7B%22indication_name%22%3A%20%5B%22Colorectal%20cancer%22%2C%20%22Colon%20cancer%20recurrent%22%5D%2C%20%22phase%22%3A%20%5B%22Preclinical%22%2C%20%22IND%22%2C%20%22I%22%2C%20%22II%22%2C%20%22III%22%2C%20%22BLA%2FNDA%22%2C%20%22Approved%22%5D%2C%20%22drug_modality%22%3A%20%7B%22data%22%3A%20%5B%22Others%22%5D%2C%20%22logic%22%3A%20%22or%22%7D%2C%20%22location%22%3A%20%5B%22USA%22%2C%20%22European%20Union%22%2C%20%22EU%22%2C%20%22US%22%2C%20%22Germany%22%2C%20%22France%22%2C%20%22Italy%22%2C%20%22Spain%22%2C%20%22UK%22%5D%2C%20%22top_n%22%3A%201000%7D" TargetMode="External"/><Relationship Id="rId46" Type="http://schemas.openxmlformats.org/officeDocument/2006/relationships/hyperlink" Target="https://www.noahai.co/tool/catalyst/?search_param=%7B%22phases%22%3A%20%5B%22II%22%2C%20%22III%22%5D%2C%20%22indication_name%22%3A%20%5B%22Cancer%22%2C%20%22Other%20%28Colorectal%20tumor%29%22%5D%2C%20%22catalyst_type%22%3A%20%5B%22PDUFA%20Approval%22%2C%20%22Top-Line%20Results%22%2C%20%22Trial%20Data%20Update%22%5D%2C%20%22custom_impact%22%3A%20true%2C%20%22details%22%3A%20true%2C%20%22top_n%22%3A%2030%7D" TargetMode="External"/><Relationship Id="rId20" Type="http://schemas.openxmlformats.org/officeDocument/2006/relationships/hyperlink" Target="https://www.fda.gov/drugs/drug-approvals-and-databases/fda-approves-pembrolizumab-first-line-treatment-msi-hdmmr-colorectal-cancer" TargetMode="External"/><Relationship Id="rId41" Type="http://schemas.openxmlformats.org/officeDocument/2006/relationships/hyperlink" Target="https://www.noahai.co/tool/drug-compete/?search_param=%7B%22indication_name%22%3A%20%5B%22Colorectal%20cancer%22%2C%20%22Colon%20cancer%20recurrent%22%5D%2C%20%22phase%22%3A%20%5B%22Preclinical%22%2C%20%22IND%22%2C%20%22I%22%2C%20%22II%22%2C%20%22III%22%2C%20%22BLA%2FNDA%22%2C%20%22Approved%22%5D%2C%20%22drug_modality%22%3A%20%7B%22data%22%3A%20%5B%22Others%22%5D%2C%20%22logic%22%3A%20%22or%22%7D%2C%20%22location%22%3A%20%5B%22USA%22%2C%20%22European%20Union%22%2C%20%22EU%22%2C%20%22US%22%2C%20%22Germany%22%2C%20%22France%22%2C%20%22Italy%22%2C%20%22Spain%22%2C%20%22UK%22%5D%2C%20%22top_n%22%3A%201000%7D"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da.gov/media/165219/download" TargetMode="External"/><Relationship Id="rId15" Type="http://schemas.openxmlformats.org/officeDocument/2006/relationships/hyperlink" Target="https://www.fda.gov/drugs/resources-information-approved-drugs/fda-grants-accelerated-approval-dostarlimab-gxly-dmmr-advanced-solid-tumors" TargetMode="External"/><Relationship Id="rId23" Type="http://schemas.openxmlformats.org/officeDocument/2006/relationships/hyperlink" Target="https://www.fda.gov/drugs/resources-information-approved-drugs/fda-grants-accelerated-approval-dostarlimab-gxly-dmmr-advanced-solid-tumors" TargetMode="External"/><Relationship Id="rId28" Type="http://schemas.openxmlformats.org/officeDocument/2006/relationships/hyperlink" Target="https://www.noahai.co/tool/clinical-result/?search_param=%7B%22indication_name%22%3A%20%5B%22Cancer%22%2C%20%22Other%20%28Colorectal%20tumor%29%22%5D%2C%20%22phase%22%3A%20%5B%22I%22%2C%20%22II%22%2C%20%22III%22%5D%2C%20%22drug_modality%22%3A%20%7B%22data%22%3A%20%5B%22Vaccine%22%2C%20%22Bi-specific%20Antibodies%22%2C%20%22Cell-based%20Therapies%22%5D%2C%20%22logic%22%3A%20%22or%22%7D%2C%20%22top_n%22%3A%20150%7D" TargetMode="External"/><Relationship Id="rId36" Type="http://schemas.openxmlformats.org/officeDocument/2006/relationships/hyperlink" Target="https://www.noahai.co/tool/drug-compete/?search_param=%7B%22indication_name%22%3A%20%5B%22Colorectal%20cancer%22%2C%20%22Colon%20cancer%20recurrent%22%5D%2C%20%22phase%22%3A%20%5B%22Preclinical%22%2C%20%22IND%22%2C%20%22I%22%2C%20%22II%22%2C%20%22III%22%2C%20%22BLA%2FNDA%22%2C%20%22Approved%22%5D%2C%20%22drug_modality%22%3A%20%7B%22data%22%3A%20%5B%22Others%22%5D%2C%20%22logic%22%3A%20%22or%22%7D%2C%20%22location%22%3A%20%5B%22USA%22%2C%20%22European%20Union%22%2C%20%22EU%22%2C%20%22US%22%2C%20%22Germany%22%2C%20%22France%22%2C%20%22Italy%22%2C%20%22Spain%22%2C%20%22UK%22%5D%2C%20%22top_n%22%3A%201000%7D" TargetMode="External"/><Relationship Id="rId49" Type="http://schemas.openxmlformats.org/officeDocument/2006/relationships/hyperlink" Target="https://www.noahai.co/tool/catalyst/?search_param=%7B%22phases%22%3A%20%5B%22II%22%2C%20%22III%22%5D%2C%20%22indication_name%22%3A%20%5B%22Cancer%22%2C%20%22Other%20%28Colorectal%20tumor%29%22%5D%2C%20%22catalyst_type%22%3A%20%5B%22PDUFA%20Approval%22%2C%20%22Top-Line%20Results%22%2C%20%22Trial%20Data%20Update%22%5D%2C%20%22custom_impact%22%3A%20true%2C%20%22details%22%3A%20true%2C%20%22top_n%22%3A%2030%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4437</Words>
  <Characters>25292</Characters>
  <Application>Microsoft Office Word</Application>
  <DocSecurity>0</DocSecurity>
  <Lines>210</Lines>
  <Paragraphs>59</Paragraphs>
  <ScaleCrop>false</ScaleCrop>
  <Company/>
  <LinksUpToDate>false</LinksUpToDate>
  <CharactersWithSpaces>29670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Feng</dc:creator>
  <cp:keywords/>
  <dc:description/>
  <cp:lastModifiedBy>Di Feng</cp:lastModifiedBy>
  <cp:revision>1</cp:revision>
  <dcterms:created xsi:type="dcterms:W3CDTF">2025-10-02T01:32:00Z</dcterms:created>
  <dcterms:modified xsi:type="dcterms:W3CDTF">2025-10-02T01:32:00Z</dcterms:modified>
</cp:coreProperties>
</file>