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5AAA0" w14:textId="77777777" w:rsidR="00D042F0" w:rsidRPr="00D042F0" w:rsidRDefault="00D042F0" w:rsidP="00D042F0">
      <w:pPr>
        <w:rPr>
          <w:b/>
          <w:bCs/>
        </w:rPr>
      </w:pPr>
      <w:r w:rsidRPr="00D042F0">
        <w:rPr>
          <w:b/>
          <w:bCs/>
        </w:rPr>
        <w:t>The Liver Cancer Immunotherapy Landscape in the US and EU: A 2025 Scientific Review and Five-Year Outlook</w:t>
      </w:r>
    </w:p>
    <w:p w14:paraId="7E8F96C9" w14:textId="77777777" w:rsidR="00D042F0" w:rsidRPr="00D042F0" w:rsidRDefault="00D042F0" w:rsidP="00D042F0">
      <w:r w:rsidRPr="00D042F0">
        <w:rPr>
          <w:b/>
          <w:bCs/>
        </w:rPr>
        <w:t>Current Date:</w:t>
      </w:r>
      <w:r w:rsidRPr="00D042F0">
        <w:t> 2025-10-02</w:t>
      </w:r>
    </w:p>
    <w:p w14:paraId="659894FA" w14:textId="77777777" w:rsidR="00D042F0" w:rsidRPr="00D042F0" w:rsidRDefault="00D042F0" w:rsidP="00D042F0">
      <w:pPr>
        <w:rPr>
          <w:b/>
          <w:bCs/>
        </w:rPr>
      </w:pPr>
      <w:r w:rsidRPr="00D042F0">
        <w:rPr>
          <w:b/>
          <w:bCs/>
        </w:rPr>
        <w:t>Executive Summary</w:t>
      </w:r>
    </w:p>
    <w:p w14:paraId="299833AE" w14:textId="77777777" w:rsidR="00D042F0" w:rsidRPr="00D042F0" w:rsidRDefault="00D042F0" w:rsidP="00D042F0">
      <w:r w:rsidRPr="00D042F0">
        <w:t>The treatment paradigm for advanced liver cancer, predominantly hepatocellular carcinoma (HCC), has been fundamentally reshaped by immunotherapy. As of 2025, immune checkpoint inhibitor (ICI)-based combinations have replaced tyrosine kinase inhibitors (TKIs) as the standard of care in the first-line setting in the United States (US) and European Union (EU), demonstrating significant improvements in overall survival [</w:t>
      </w:r>
      <w:hyperlink r:id="rId5" w:tgtFrame="_blank" w:history="1">
        <w:r w:rsidRPr="00D042F0">
          <w:rPr>
            <w:rStyle w:val="Hyperlink"/>
          </w:rPr>
          <w:t>2</w:t>
        </w:r>
      </w:hyperlink>
      <w:r w:rsidRPr="00D042F0">
        <w:t>]. The combination of atezolizumab (anti-PD-L1) and bevacizumab (anti-VEGF) remains the established benchmark, with newer dual ICI and ICI/TKI combinations showing compelling efficacy [</w:t>
      </w:r>
      <w:hyperlink r:id="rId6" w:tgtFrame="_blank" w:history="1">
        <w:r w:rsidRPr="00D042F0">
          <w:rPr>
            <w:rStyle w:val="Hyperlink"/>
          </w:rPr>
          <w:t>2</w:t>
        </w:r>
      </w:hyperlink>
      <w:r w:rsidRPr="00D042F0">
        <w:t>][</w:t>
      </w:r>
      <w:hyperlink r:id="rId7" w:tgtFrame="_blank" w:history="1">
        <w:r w:rsidRPr="00D042F0">
          <w:rPr>
            <w:rStyle w:val="Hyperlink"/>
          </w:rPr>
          <w:t>6</w:t>
        </w:r>
      </w:hyperlink>
      <w:r w:rsidRPr="00D042F0">
        <w:t>].</w:t>
      </w:r>
    </w:p>
    <w:p w14:paraId="4F037386" w14:textId="77777777" w:rsidR="00D042F0" w:rsidRPr="00D042F0" w:rsidRDefault="00D042F0" w:rsidP="00D042F0">
      <w:r w:rsidRPr="00D042F0">
        <w:t>The development pipeline is robust, with over 200 active programs, though heavily weighted towards the preclinical stage (65.4%), indicating a long-term innovation cycle [</w:t>
      </w:r>
      <w:hyperlink r:id="rId8" w:tgtFrame="_blank" w:history="1">
        <w:r w:rsidRPr="00D042F0">
          <w:rPr>
            <w:rStyle w:val="Hyperlink"/>
          </w:rPr>
          <w:t>1</w:t>
        </w:r>
      </w:hyperlink>
      <w:r w:rsidRPr="00D042F0">
        <w:t>]. Monoclonal antibodies targeting the PD-1/PD-L1 axis continue to dominate, but the future landscape points towards novel combinations, bi-specific antibodies, and cell-based therapies [</w:t>
      </w:r>
      <w:hyperlink r:id="rId9" w:tgtFrame="_blank" w:history="1">
        <w:r w:rsidRPr="00D042F0">
          <w:rPr>
            <w:rStyle w:val="Hyperlink"/>
          </w:rPr>
          <w:t>1</w:t>
        </w:r>
      </w:hyperlink>
      <w:r w:rsidRPr="00D042F0">
        <w:t>]. The liver cancer drug market is experiencing rapid growth, with a projected compound annual growth rate (CAGR) of over 17% in both the US and EU through 2030, driven primarily by the high cost and increasing adoption of these immunotherapies [</w:t>
      </w:r>
      <w:hyperlink r:id="rId10" w:tgtFrame="_blank" w:history="1">
        <w:r w:rsidRPr="00D042F0">
          <w:rPr>
            <w:rStyle w:val="Hyperlink"/>
          </w:rPr>
          <w:t>3</w:t>
        </w:r>
      </w:hyperlink>
      <w:r w:rsidRPr="00D042F0">
        <w:t>][</w:t>
      </w:r>
      <w:hyperlink r:id="rId11" w:tgtFrame="_blank" w:history="1">
        <w:r w:rsidRPr="00D042F0">
          <w:rPr>
            <w:rStyle w:val="Hyperlink"/>
          </w:rPr>
          <w:t>4</w:t>
        </w:r>
      </w:hyperlink>
      <w:r w:rsidRPr="00D042F0">
        <w:t>]. Key challenges remain in overcoming treatment resistance, managing toxicities, identifying predictive biomarkers, and translating the vast preclinical pipeline into clinical successes.</w:t>
      </w:r>
    </w:p>
    <w:p w14:paraId="5273C94D" w14:textId="77777777" w:rsidR="00D042F0" w:rsidRPr="00D042F0" w:rsidRDefault="00D042F0" w:rsidP="00D042F0">
      <w:pPr>
        <w:rPr>
          <w:b/>
          <w:bCs/>
        </w:rPr>
      </w:pPr>
      <w:r w:rsidRPr="00D042F0">
        <w:rPr>
          <w:b/>
          <w:bCs/>
        </w:rPr>
        <w:t>1. Current Approved Therapies and Clinical Landscape (as of 2025)</w:t>
      </w:r>
    </w:p>
    <w:p w14:paraId="3EFE5ED9" w14:textId="77777777" w:rsidR="00D042F0" w:rsidRPr="00D042F0" w:rsidRDefault="00D042F0" w:rsidP="00D042F0">
      <w:r w:rsidRPr="00D042F0">
        <w:t>The first-line treatment of unresectable HCC is dominated by immunotherapy-based combinations that have demonstrated superiority over the previous standard, sorafenib.</w:t>
      </w:r>
    </w:p>
    <w:p w14:paraId="3F89766F" w14:textId="77777777" w:rsidR="00D042F0" w:rsidRPr="00D042F0" w:rsidRDefault="00D042F0" w:rsidP="00D042F0">
      <w:pPr>
        <w:rPr>
          <w:b/>
          <w:bCs/>
        </w:rPr>
      </w:pPr>
      <w:r w:rsidRPr="00D042F0">
        <w:rPr>
          <w:b/>
          <w:bCs/>
        </w:rPr>
        <w:t>1.1. Landmark Phase III Trials in First-Line Unresectable HCC</w:t>
      </w:r>
    </w:p>
    <w:p w14:paraId="179164BB" w14:textId="77777777" w:rsidR="00D042F0" w:rsidRPr="00D042F0" w:rsidRDefault="00D042F0" w:rsidP="00D042F0">
      <w:r w:rsidRPr="00D042F0">
        <w:t>Several pivotal Phase III trials have defined the current treatment landscape. The </w:t>
      </w:r>
      <w:r w:rsidRPr="00D042F0">
        <w:rPr>
          <w:b/>
          <w:bCs/>
        </w:rPr>
        <w:t>IMbrave150</w:t>
      </w:r>
      <w:r w:rsidRPr="00D042F0">
        <w:t> study established atezolizumab plus bevacizumab as the first immunotherapy combination to significantly improve overall survival (OS) and progression-free survival (PFS) over sorafenib, leading to its global approval and status as the primary standard of care [</w:t>
      </w:r>
      <w:hyperlink r:id="rId12" w:tgtFrame="_blank" w:history="1">
        <w:r w:rsidRPr="00D042F0">
          <w:rPr>
            <w:rStyle w:val="Hyperlink"/>
          </w:rPr>
          <w:t>2</w:t>
        </w:r>
      </w:hyperlink>
      <w:r w:rsidRPr="00D042F0">
        <w:t>][</w:t>
      </w:r>
      <w:hyperlink r:id="rId13" w:tgtFrame="_blank" w:history="1">
        <w:r w:rsidRPr="00D042F0">
          <w:rPr>
            <w:rStyle w:val="Hyperlink"/>
          </w:rPr>
          <w:t>6</w:t>
        </w:r>
      </w:hyperlink>
      <w:r w:rsidRPr="00D042F0">
        <w:t>].</w:t>
      </w:r>
    </w:p>
    <w:p w14:paraId="3FD21CB2" w14:textId="77777777" w:rsidR="00D042F0" w:rsidRPr="00D042F0" w:rsidRDefault="00D042F0" w:rsidP="00D042F0">
      <w:r w:rsidRPr="00D042F0">
        <w:t>Following this, other combinations have proven their efficacy. The </w:t>
      </w:r>
      <w:r w:rsidRPr="00D042F0">
        <w:rPr>
          <w:b/>
          <w:bCs/>
        </w:rPr>
        <w:t>HIMALAYA</w:t>
      </w:r>
      <w:r w:rsidRPr="00D042F0">
        <w:t xml:space="preserve"> trial introduced the STRIDE regimen (a single priming dose of </w:t>
      </w:r>
      <w:proofErr w:type="spellStart"/>
      <w:r w:rsidRPr="00D042F0">
        <w:t>tremelimumab</w:t>
      </w:r>
      <w:proofErr w:type="spellEnd"/>
      <w:r w:rsidRPr="00D042F0">
        <w:t xml:space="preserve"> [anti-CTLA-4] followed by durvalumab [anti-PD-L1]), which showed a superior OS benefit and an impressive 5-year survival rate of 19.6% [</w:t>
      </w:r>
      <w:hyperlink r:id="rId14" w:tgtFrame="_blank" w:history="1">
        <w:r w:rsidRPr="00D042F0">
          <w:rPr>
            <w:rStyle w:val="Hyperlink"/>
          </w:rPr>
          <w:t>2</w:t>
        </w:r>
      </w:hyperlink>
      <w:r w:rsidRPr="00D042F0">
        <w:t>]. The </w:t>
      </w:r>
      <w:proofErr w:type="spellStart"/>
      <w:r w:rsidRPr="00D042F0">
        <w:rPr>
          <w:b/>
          <w:bCs/>
        </w:rPr>
        <w:t>CheckMate</w:t>
      </w:r>
      <w:proofErr w:type="spellEnd"/>
      <w:r w:rsidRPr="00D042F0">
        <w:rPr>
          <w:b/>
          <w:bCs/>
        </w:rPr>
        <w:t xml:space="preserve"> 9DW</w:t>
      </w:r>
      <w:r w:rsidRPr="00D042F0">
        <w:t xml:space="preserve"> trial validated another </w:t>
      </w:r>
      <w:r w:rsidRPr="00D042F0">
        <w:lastRenderedPageBreak/>
        <w:t xml:space="preserve">dual immunotherapy approach, nivolumab plus ipilimumab, which also demonstrated a significant OS advantage over sorafenib or </w:t>
      </w:r>
      <w:proofErr w:type="spellStart"/>
      <w:r w:rsidRPr="00D042F0">
        <w:t>lenvatinib</w:t>
      </w:r>
      <w:proofErr w:type="spellEnd"/>
      <w:r w:rsidRPr="00D042F0">
        <w:t> [</w:t>
      </w:r>
      <w:hyperlink r:id="rId15" w:tgtFrame="_blank" w:history="1">
        <w:r w:rsidRPr="00D042F0">
          <w:rPr>
            <w:rStyle w:val="Hyperlink"/>
          </w:rPr>
          <w:t>2</w:t>
        </w:r>
      </w:hyperlink>
      <w:r w:rsidRPr="00D042F0">
        <w:t>]. More recently, the </w:t>
      </w:r>
      <w:r w:rsidRPr="00D042F0">
        <w:rPr>
          <w:b/>
          <w:bCs/>
        </w:rPr>
        <w:t>CARES-310</w:t>
      </w:r>
      <w:r w:rsidRPr="00D042F0">
        <w:t xml:space="preserve"> trial, featuring </w:t>
      </w:r>
      <w:proofErr w:type="spellStart"/>
      <w:r w:rsidRPr="00D042F0">
        <w:t>camrelizumab</w:t>
      </w:r>
      <w:proofErr w:type="spellEnd"/>
      <w:r w:rsidRPr="00D042F0">
        <w:t xml:space="preserve"> (anti-PD-1) plus </w:t>
      </w:r>
      <w:proofErr w:type="spellStart"/>
      <w:r w:rsidRPr="00D042F0">
        <w:t>rivoceranib</w:t>
      </w:r>
      <w:proofErr w:type="spellEnd"/>
      <w:r w:rsidRPr="00D042F0">
        <w:t xml:space="preserve"> (a TKI), reported the longest median OS to date at 23.8 months [</w:t>
      </w:r>
      <w:hyperlink r:id="rId16" w:tgtFrame="_blank" w:history="1">
        <w:r w:rsidRPr="00D042F0">
          <w:rPr>
            <w:rStyle w:val="Hyperlink"/>
          </w:rPr>
          <w:t>2</w:t>
        </w:r>
      </w:hyperlink>
      <w:r w:rsidRPr="00D042F0">
        <w:t>].</w:t>
      </w:r>
    </w:p>
    <w:p w14:paraId="7AA3AC6E" w14:textId="77777777" w:rsidR="00D042F0" w:rsidRPr="00D042F0" w:rsidRDefault="00D042F0" w:rsidP="00D042F0">
      <w:r w:rsidRPr="00D042F0">
        <w:t>Conversely, the </w:t>
      </w:r>
      <w:r w:rsidRPr="00D042F0">
        <w:rPr>
          <w:b/>
          <w:bCs/>
        </w:rPr>
        <w:t>LEAP-002</w:t>
      </w:r>
      <w:r w:rsidRPr="00D042F0">
        <w:t xml:space="preserve"> trial, which tested </w:t>
      </w:r>
      <w:proofErr w:type="spellStart"/>
      <w:r w:rsidRPr="00D042F0">
        <w:t>lenvatinib</w:t>
      </w:r>
      <w:proofErr w:type="spellEnd"/>
      <w:r w:rsidRPr="00D042F0">
        <w:t xml:space="preserve"> plus pembrolizumab, failed to meet its primary endpoints for superiority over </w:t>
      </w:r>
      <w:proofErr w:type="spellStart"/>
      <w:r w:rsidRPr="00D042F0">
        <w:t>lenvatinib</w:t>
      </w:r>
      <w:proofErr w:type="spellEnd"/>
      <w:r w:rsidRPr="00D042F0">
        <w:t xml:space="preserve"> alone, despite showing promising numerical trends [</w:t>
      </w:r>
      <w:hyperlink r:id="rId17" w:tgtFrame="_blank" w:history="1">
        <w:r w:rsidRPr="00D042F0">
          <w:rPr>
            <w:rStyle w:val="Hyperlink"/>
          </w:rPr>
          <w:t>2</w:t>
        </w:r>
      </w:hyperlink>
      <w:r w:rsidRPr="00D042F0">
        <w:t>].</w:t>
      </w:r>
    </w:p>
    <w:p w14:paraId="741AFB02" w14:textId="77777777" w:rsidR="00D042F0" w:rsidRPr="00D042F0" w:rsidRDefault="00D042F0" w:rsidP="00D042F0">
      <w:r w:rsidRPr="00D042F0">
        <w:t>The table below summarizes the key results from these pivotal first-line trials.</w:t>
      </w:r>
    </w:p>
    <w:p w14:paraId="4A1C7017" w14:textId="77777777" w:rsidR="00D042F0" w:rsidRPr="00D042F0" w:rsidRDefault="00D042F0" w:rsidP="00D042F0">
      <w:r w:rsidRPr="00D042F0">
        <w:rPr>
          <w:b/>
          <w:bCs/>
        </w:rPr>
        <w:t>Table 1: Comparison of Key Phase III First-Line Immunotherapy Trials in Unresectable HCC</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0"/>
        <w:gridCol w:w="2422"/>
        <w:gridCol w:w="1056"/>
        <w:gridCol w:w="975"/>
        <w:gridCol w:w="1258"/>
        <w:gridCol w:w="1512"/>
        <w:gridCol w:w="762"/>
      </w:tblGrid>
      <w:tr w:rsidR="00D042F0" w:rsidRPr="00D042F0" w14:paraId="3BFD5DF9"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004FFA4" w14:textId="77777777" w:rsidR="00D042F0" w:rsidRPr="00D042F0" w:rsidRDefault="00D042F0" w:rsidP="00D042F0">
            <w:r w:rsidRPr="00D042F0">
              <w:t>Trial</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AD015E4" w14:textId="77777777" w:rsidR="00D042F0" w:rsidRPr="00D042F0" w:rsidRDefault="00D042F0" w:rsidP="00D042F0">
            <w:r w:rsidRPr="00D042F0">
              <w:t>Treatment Arms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BE4811A" w14:textId="77777777" w:rsidR="00D042F0" w:rsidRPr="00D042F0" w:rsidRDefault="00D042F0" w:rsidP="00D042F0">
            <w:r w:rsidRPr="00D042F0">
              <w:t>Median OS (months)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839A1E7" w14:textId="77777777" w:rsidR="00D042F0" w:rsidRPr="00D042F0" w:rsidRDefault="00D042F0" w:rsidP="00D042F0">
            <w:r w:rsidRPr="00D042F0">
              <w:t>Hazard Ratio (HR) for OS (95% CI)</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605047D" w14:textId="77777777" w:rsidR="00D042F0" w:rsidRPr="00D042F0" w:rsidRDefault="00D042F0" w:rsidP="00D042F0">
            <w:r w:rsidRPr="00D042F0">
              <w:t>Objective Response Rate (ORR) (%)</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98A2CFD" w14:textId="77777777" w:rsidR="00D042F0" w:rsidRPr="00D042F0" w:rsidRDefault="00D042F0" w:rsidP="00D042F0">
            <w:r w:rsidRPr="00D042F0">
              <w:t>Grade 3+ Treatment-Related Adverse Events (TRAEs) (%)</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4ECD03B" w14:textId="77777777" w:rsidR="00D042F0" w:rsidRPr="00D042F0" w:rsidRDefault="00D042F0" w:rsidP="00D042F0">
            <w:r w:rsidRPr="00D042F0">
              <w:t>Source</w:t>
            </w:r>
          </w:p>
        </w:tc>
      </w:tr>
      <w:tr w:rsidR="00D042F0" w:rsidRPr="00D042F0" w14:paraId="7EB74E2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20ADAB9" w14:textId="77777777" w:rsidR="00D042F0" w:rsidRPr="00D042F0" w:rsidRDefault="00D042F0" w:rsidP="00D042F0">
            <w:r w:rsidRPr="00D042F0">
              <w:rPr>
                <w:b/>
                <w:bCs/>
              </w:rPr>
              <w:t>IMbrave150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575A6B2" w14:textId="77777777" w:rsidR="00D042F0" w:rsidRPr="00D042F0" w:rsidRDefault="00D042F0" w:rsidP="00D042F0">
            <w:r w:rsidRPr="00D042F0">
              <w:t>Atezolizumab + Bevacizumab vs. Sorafenib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890369" w14:textId="77777777" w:rsidR="00D042F0" w:rsidRPr="00D042F0" w:rsidRDefault="00D042F0" w:rsidP="00D042F0">
            <w:r w:rsidRPr="00D042F0">
              <w:t>19.2 vs. 13.4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C54B094" w14:textId="77777777" w:rsidR="00D042F0" w:rsidRPr="00D042F0" w:rsidRDefault="00D042F0" w:rsidP="00D042F0">
            <w:r w:rsidRPr="00D042F0">
              <w:t>0.66 (0.52-0.85)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8070B02" w14:textId="77777777" w:rsidR="00D042F0" w:rsidRPr="00D042F0" w:rsidRDefault="00D042F0" w:rsidP="00D042F0">
            <w:r w:rsidRPr="00D042F0">
              <w:t>29.8 vs. 5.1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13E457B" w14:textId="77777777" w:rsidR="00D042F0" w:rsidRPr="00D042F0" w:rsidRDefault="00D042F0" w:rsidP="00D042F0">
            <w:r w:rsidRPr="00D042F0">
              <w:t>56.5 vs. 55.1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CFC8640" w14:textId="77777777" w:rsidR="00D042F0" w:rsidRPr="00D042F0" w:rsidRDefault="00D042F0" w:rsidP="00D042F0">
            <w:r w:rsidRPr="00D042F0">
              <w:t>[</w:t>
            </w:r>
            <w:hyperlink r:id="rId18" w:tgtFrame="_blank" w:history="1">
              <w:r w:rsidRPr="00D042F0">
                <w:rPr>
                  <w:rStyle w:val="Hyperlink"/>
                </w:rPr>
                <w:t>2</w:t>
              </w:r>
            </w:hyperlink>
            <w:r w:rsidRPr="00D042F0">
              <w:t>]</w:t>
            </w:r>
          </w:p>
        </w:tc>
      </w:tr>
      <w:tr w:rsidR="00D042F0" w:rsidRPr="00D042F0" w14:paraId="4377E00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93DB5E2" w14:textId="77777777" w:rsidR="00D042F0" w:rsidRPr="00D042F0" w:rsidRDefault="00D042F0" w:rsidP="00D042F0">
            <w:r w:rsidRPr="00D042F0">
              <w:rPr>
                <w:b/>
                <w:bCs/>
              </w:rPr>
              <w:t>HIMALAYA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F779437" w14:textId="77777777" w:rsidR="00D042F0" w:rsidRPr="00D042F0" w:rsidRDefault="00D042F0" w:rsidP="00D042F0">
            <w:r w:rsidRPr="00D042F0">
              <w:t>Durvalumab + Tremelimumab (STRIDE) vs. Sorafenib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97DD827" w14:textId="77777777" w:rsidR="00D042F0" w:rsidRPr="00D042F0" w:rsidRDefault="00D042F0" w:rsidP="00D042F0">
            <w:r w:rsidRPr="00D042F0">
              <w:t>16.4 vs. 13.8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D9FF4D" w14:textId="77777777" w:rsidR="00D042F0" w:rsidRPr="00D042F0" w:rsidRDefault="00D042F0" w:rsidP="00D042F0">
            <w:r w:rsidRPr="00D042F0">
              <w:t>0.76 (0.65-0.89)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523EA1D" w14:textId="77777777" w:rsidR="00D042F0" w:rsidRPr="00D042F0" w:rsidRDefault="00D042F0" w:rsidP="00D042F0">
            <w:r w:rsidRPr="00D042F0">
              <w:t>20.1 vs. 5.1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D93CC5" w14:textId="77777777" w:rsidR="00D042F0" w:rsidRPr="00D042F0" w:rsidRDefault="00D042F0" w:rsidP="00D042F0">
            <w:r w:rsidRPr="00D042F0">
              <w:t>25.8 vs. 36.9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1FD0A10" w14:textId="77777777" w:rsidR="00D042F0" w:rsidRPr="00D042F0" w:rsidRDefault="00D042F0" w:rsidP="00D042F0">
            <w:r w:rsidRPr="00D042F0">
              <w:t>[</w:t>
            </w:r>
            <w:hyperlink r:id="rId19" w:tgtFrame="_blank" w:history="1">
              <w:r w:rsidRPr="00D042F0">
                <w:rPr>
                  <w:rStyle w:val="Hyperlink"/>
                </w:rPr>
                <w:t>2</w:t>
              </w:r>
            </w:hyperlink>
            <w:r w:rsidRPr="00D042F0">
              <w:t>]</w:t>
            </w:r>
          </w:p>
        </w:tc>
      </w:tr>
      <w:tr w:rsidR="00D042F0" w:rsidRPr="00D042F0" w14:paraId="242C658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8D9582F" w14:textId="77777777" w:rsidR="00D042F0" w:rsidRPr="00D042F0" w:rsidRDefault="00D042F0" w:rsidP="00D042F0">
            <w:proofErr w:type="spellStart"/>
            <w:r w:rsidRPr="00D042F0">
              <w:rPr>
                <w:b/>
                <w:bCs/>
              </w:rPr>
              <w:t>CheckMate</w:t>
            </w:r>
            <w:proofErr w:type="spellEnd"/>
            <w:r w:rsidRPr="00D042F0">
              <w:rPr>
                <w:b/>
                <w:bCs/>
              </w:rPr>
              <w:t xml:space="preserve"> 9DW</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518EA66" w14:textId="77777777" w:rsidR="00D042F0" w:rsidRPr="00D042F0" w:rsidRDefault="00D042F0" w:rsidP="00D042F0">
            <w:r w:rsidRPr="00D042F0">
              <w:t>Nivolumab + Ipilimumab vs. Sorafenib/Lenvatinib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7E53766" w14:textId="77777777" w:rsidR="00D042F0" w:rsidRPr="00D042F0" w:rsidRDefault="00D042F0" w:rsidP="00D042F0">
            <w:r w:rsidRPr="00D042F0">
              <w:t>23.7 vs. 20.6</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8B3713" w14:textId="77777777" w:rsidR="00D042F0" w:rsidRPr="00D042F0" w:rsidRDefault="00D042F0" w:rsidP="00D042F0">
            <w:r w:rsidRPr="00D042F0">
              <w:t>0.79 (0.65-0.96)</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CC8068" w14:textId="77777777" w:rsidR="00D042F0" w:rsidRPr="00D042F0" w:rsidRDefault="00D042F0" w:rsidP="00D042F0">
            <w:r w:rsidRPr="00D042F0">
              <w:t>36 vs. 13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26711F0" w14:textId="77777777" w:rsidR="00D042F0" w:rsidRPr="00D042F0" w:rsidRDefault="00D042F0" w:rsidP="00D042F0">
            <w:r w:rsidRPr="00D042F0">
              <w:t>41 vs. 42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27FD48" w14:textId="77777777" w:rsidR="00D042F0" w:rsidRPr="00D042F0" w:rsidRDefault="00D042F0" w:rsidP="00D042F0">
            <w:r w:rsidRPr="00D042F0">
              <w:t>[</w:t>
            </w:r>
            <w:hyperlink r:id="rId20" w:tgtFrame="_blank" w:history="1">
              <w:r w:rsidRPr="00D042F0">
                <w:rPr>
                  <w:rStyle w:val="Hyperlink"/>
                </w:rPr>
                <w:t>2</w:t>
              </w:r>
            </w:hyperlink>
            <w:r w:rsidRPr="00D042F0">
              <w:t>]</w:t>
            </w:r>
          </w:p>
        </w:tc>
      </w:tr>
      <w:tr w:rsidR="00D042F0" w:rsidRPr="00D042F0" w14:paraId="71B6F36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63F0876" w14:textId="77777777" w:rsidR="00D042F0" w:rsidRPr="00D042F0" w:rsidRDefault="00D042F0" w:rsidP="00D042F0">
            <w:r w:rsidRPr="00D042F0">
              <w:rPr>
                <w:b/>
                <w:bCs/>
              </w:rPr>
              <w:t>CARES-310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B3487B5" w14:textId="77777777" w:rsidR="00D042F0" w:rsidRPr="00D042F0" w:rsidRDefault="00D042F0" w:rsidP="00D042F0">
            <w:proofErr w:type="spellStart"/>
            <w:r w:rsidRPr="00D042F0">
              <w:t>Camrelizumab</w:t>
            </w:r>
            <w:proofErr w:type="spellEnd"/>
            <w:r w:rsidRPr="00D042F0">
              <w:t xml:space="preserve"> + </w:t>
            </w:r>
            <w:proofErr w:type="spellStart"/>
            <w:r w:rsidRPr="00D042F0">
              <w:t>Rivoceranib</w:t>
            </w:r>
            <w:proofErr w:type="spellEnd"/>
            <w:r w:rsidRPr="00D042F0">
              <w:t xml:space="preserve"> vs. Sorafenib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94719B9" w14:textId="77777777" w:rsidR="00D042F0" w:rsidRPr="00D042F0" w:rsidRDefault="00D042F0" w:rsidP="00D042F0">
            <w:r w:rsidRPr="00D042F0">
              <w:t>23.8 vs. 15.2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B2A86B" w14:textId="77777777" w:rsidR="00D042F0" w:rsidRPr="00D042F0" w:rsidRDefault="00D042F0" w:rsidP="00D042F0">
            <w:r w:rsidRPr="00D042F0">
              <w:t>0.64 (0.52-0.79)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BF40563" w14:textId="77777777" w:rsidR="00D042F0" w:rsidRPr="00D042F0" w:rsidRDefault="00D042F0" w:rsidP="00D042F0">
            <w:r w:rsidRPr="00D042F0">
              <w:t>25.4 vs. 5.9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B7F6BD2" w14:textId="77777777" w:rsidR="00D042F0" w:rsidRPr="00D042F0" w:rsidRDefault="00D042F0" w:rsidP="00D042F0">
            <w:r w:rsidRPr="00D042F0">
              <w:t>80.9 vs. 52.4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25854B8" w14:textId="77777777" w:rsidR="00D042F0" w:rsidRPr="00D042F0" w:rsidRDefault="00D042F0" w:rsidP="00D042F0">
            <w:r w:rsidRPr="00D042F0">
              <w:t>[</w:t>
            </w:r>
            <w:hyperlink r:id="rId21" w:tgtFrame="_blank" w:history="1">
              <w:r w:rsidRPr="00D042F0">
                <w:rPr>
                  <w:rStyle w:val="Hyperlink"/>
                </w:rPr>
                <w:t>2</w:t>
              </w:r>
            </w:hyperlink>
            <w:r w:rsidRPr="00D042F0">
              <w:t>]</w:t>
            </w:r>
          </w:p>
        </w:tc>
      </w:tr>
      <w:tr w:rsidR="00D042F0" w:rsidRPr="00D042F0" w14:paraId="0E3C9B8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A3B698" w14:textId="77777777" w:rsidR="00D042F0" w:rsidRPr="00D042F0" w:rsidRDefault="00D042F0" w:rsidP="00D042F0">
            <w:r w:rsidRPr="00D042F0">
              <w:rPr>
                <w:b/>
                <w:bCs/>
              </w:rPr>
              <w:t>RATIONALE-301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DA09D7E" w14:textId="77777777" w:rsidR="00D042F0" w:rsidRPr="00D042F0" w:rsidRDefault="00D042F0" w:rsidP="00D042F0">
            <w:r w:rsidRPr="00D042F0">
              <w:t>Tislelizumab vs. Sorafenib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5C6AE10" w14:textId="77777777" w:rsidR="00D042F0" w:rsidRPr="00D042F0" w:rsidRDefault="00D042F0" w:rsidP="00D042F0">
            <w:r w:rsidRPr="00D042F0">
              <w:t>15.9 vs. 14.1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21053A3" w14:textId="77777777" w:rsidR="00D042F0" w:rsidRPr="00D042F0" w:rsidRDefault="00D042F0" w:rsidP="00D042F0">
            <w:r w:rsidRPr="00D042F0">
              <w:t>0.85 (0.71-1.02)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765540E" w14:textId="77777777" w:rsidR="00D042F0" w:rsidRPr="00D042F0" w:rsidRDefault="00D042F0" w:rsidP="00D042F0">
            <w:r w:rsidRPr="00D042F0">
              <w:t>14.3 vs. 5.4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5566DA2" w14:textId="77777777" w:rsidR="00D042F0" w:rsidRPr="00D042F0" w:rsidRDefault="00D042F0" w:rsidP="00D042F0">
            <w:r w:rsidRPr="00D042F0">
              <w:t>48.2 vs. 65.4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FB8C3CF" w14:textId="77777777" w:rsidR="00D042F0" w:rsidRPr="00D042F0" w:rsidRDefault="00D042F0" w:rsidP="00D042F0">
            <w:r w:rsidRPr="00D042F0">
              <w:t>[</w:t>
            </w:r>
            <w:hyperlink r:id="rId22" w:tgtFrame="_blank" w:history="1">
              <w:r w:rsidRPr="00D042F0">
                <w:rPr>
                  <w:rStyle w:val="Hyperlink"/>
                </w:rPr>
                <w:t>2</w:t>
              </w:r>
            </w:hyperlink>
            <w:r w:rsidRPr="00D042F0">
              <w:t>]</w:t>
            </w:r>
          </w:p>
        </w:tc>
      </w:tr>
      <w:tr w:rsidR="00D042F0" w:rsidRPr="00D042F0" w14:paraId="6E223C7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26DD16" w14:textId="77777777" w:rsidR="00D042F0" w:rsidRPr="00D042F0" w:rsidRDefault="00D042F0" w:rsidP="00D042F0">
            <w:r w:rsidRPr="00D042F0">
              <w:rPr>
                <w:b/>
                <w:bCs/>
              </w:rPr>
              <w:t>LEAP-002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BFC6F6E" w14:textId="77777777" w:rsidR="00D042F0" w:rsidRPr="00D042F0" w:rsidRDefault="00D042F0" w:rsidP="00D042F0">
            <w:r w:rsidRPr="00D042F0">
              <w:t xml:space="preserve">Lenvatinib + </w:t>
            </w:r>
            <w:r w:rsidRPr="00D042F0">
              <w:lastRenderedPageBreak/>
              <w:t>Pembrolizumab vs. Lenvatinib + Placebo</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E4BB203" w14:textId="77777777" w:rsidR="00D042F0" w:rsidRPr="00D042F0" w:rsidRDefault="00D042F0" w:rsidP="00D042F0">
            <w:r w:rsidRPr="00D042F0">
              <w:lastRenderedPageBreak/>
              <w:t xml:space="preserve">21.1 vs. </w:t>
            </w:r>
            <w:r w:rsidRPr="00D042F0">
              <w:lastRenderedPageBreak/>
              <w:t>19.0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8F9223D" w14:textId="77777777" w:rsidR="00D042F0" w:rsidRPr="00D042F0" w:rsidRDefault="00D042F0" w:rsidP="00D042F0">
            <w:r w:rsidRPr="00D042F0">
              <w:lastRenderedPageBreak/>
              <w:t xml:space="preserve">0.80 </w:t>
            </w:r>
            <w:r w:rsidRPr="00D042F0">
              <w:lastRenderedPageBreak/>
              <w:t>(0.69-0.94)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A34F75" w14:textId="77777777" w:rsidR="00D042F0" w:rsidRPr="00D042F0" w:rsidRDefault="00D042F0" w:rsidP="00D042F0">
            <w:r w:rsidRPr="00D042F0">
              <w:lastRenderedPageBreak/>
              <w:t xml:space="preserve">26.3 vs. </w:t>
            </w:r>
            <w:r w:rsidRPr="00D042F0">
              <w:lastRenderedPageBreak/>
              <w:t>17.5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C2C186A" w14:textId="77777777" w:rsidR="00D042F0" w:rsidRPr="00D042F0" w:rsidRDefault="00D042F0" w:rsidP="00D042F0">
            <w:r w:rsidRPr="00D042F0">
              <w:lastRenderedPageBreak/>
              <w:t>62.8 vs. 58.0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2B17D58" w14:textId="77777777" w:rsidR="00D042F0" w:rsidRPr="00D042F0" w:rsidRDefault="00D042F0" w:rsidP="00D042F0">
            <w:r w:rsidRPr="00D042F0">
              <w:t>[</w:t>
            </w:r>
            <w:hyperlink r:id="rId23" w:tgtFrame="_blank" w:history="1">
              <w:r w:rsidRPr="00D042F0">
                <w:rPr>
                  <w:rStyle w:val="Hyperlink"/>
                </w:rPr>
                <w:t>2</w:t>
              </w:r>
            </w:hyperlink>
            <w:r w:rsidRPr="00D042F0">
              <w:t>]</w:t>
            </w:r>
          </w:p>
        </w:tc>
      </w:tr>
    </w:tbl>
    <w:p w14:paraId="32773EA3" w14:textId="77777777" w:rsidR="00D042F0" w:rsidRPr="00D042F0" w:rsidRDefault="00D042F0" w:rsidP="00D042F0">
      <w:r w:rsidRPr="00D042F0">
        <w:rPr>
          <w:i/>
          <w:iCs/>
        </w:rPr>
        <w:t>Note: Cross-trial comparisons should be interpreted with caution due to differences in study design, patient populations, and control arms.</w:t>
      </w:r>
    </w:p>
    <w:p w14:paraId="23AAB8AD" w14:textId="77777777" w:rsidR="00D042F0" w:rsidRPr="00D042F0" w:rsidRDefault="00D042F0" w:rsidP="00D042F0">
      <w:pPr>
        <w:rPr>
          <w:b/>
          <w:bCs/>
        </w:rPr>
      </w:pPr>
      <w:r w:rsidRPr="00D042F0">
        <w:rPr>
          <w:b/>
          <w:bCs/>
        </w:rPr>
        <w:t>1.2. Long-Term Survival and Durability of Response</w:t>
      </w:r>
    </w:p>
    <w:p w14:paraId="677B86EF" w14:textId="77777777" w:rsidR="00D042F0" w:rsidRPr="00D042F0" w:rsidRDefault="00D042F0" w:rsidP="00D042F0">
      <w:r w:rsidRPr="00D042F0">
        <w:t>A key differentiator for immunotherapy is the potential for long-term, durable responses. The STRIDE regimen from the HIMALAYA trial stands out with a 5-year OS rate of 19.6%, a significant milestone in advanced HCC [</w:t>
      </w:r>
      <w:hyperlink r:id="rId24" w:tgtFrame="_blank" w:history="1">
        <w:r w:rsidRPr="00D042F0">
          <w:rPr>
            <w:rStyle w:val="Hyperlink"/>
          </w:rPr>
          <w:t>2</w:t>
        </w:r>
      </w:hyperlink>
      <w:r w:rsidRPr="00D042F0">
        <w:t>]. The nivolumab plus ipilimumab combination also shows sustained benefit, with a 3-year OS rate of 38% and a median duration of response (</w:t>
      </w:r>
      <w:proofErr w:type="spellStart"/>
      <w:r w:rsidRPr="00D042F0">
        <w:t>DoR</w:t>
      </w:r>
      <w:proofErr w:type="spellEnd"/>
      <w:r w:rsidRPr="00D042F0">
        <w:t xml:space="preserve">) of 30.4 months. Tislelizumab monotherapy, while only non-inferior to sorafenib, demonstrated an impressive median </w:t>
      </w:r>
      <w:proofErr w:type="spellStart"/>
      <w:r w:rsidRPr="00D042F0">
        <w:t>DoR</w:t>
      </w:r>
      <w:proofErr w:type="spellEnd"/>
      <w:r w:rsidRPr="00D042F0">
        <w:t xml:space="preserve"> of 36.1 months for responders [</w:t>
      </w:r>
      <w:hyperlink r:id="rId25" w:tgtFrame="_blank" w:history="1">
        <w:r w:rsidRPr="00D042F0">
          <w:rPr>
            <w:rStyle w:val="Hyperlink"/>
          </w:rPr>
          <w:t>2</w:t>
        </w:r>
      </w:hyperlink>
      <w:r w:rsidRPr="00D042F0">
        <w:t>].</w:t>
      </w:r>
    </w:p>
    <w:p w14:paraId="08F4609C" w14:textId="77777777" w:rsidR="00D042F0" w:rsidRPr="00D042F0" w:rsidRDefault="00D042F0" w:rsidP="00D042F0">
      <w:pPr>
        <w:rPr>
          <w:b/>
          <w:bCs/>
        </w:rPr>
      </w:pPr>
      <w:r w:rsidRPr="00D042F0">
        <w:rPr>
          <w:b/>
          <w:bCs/>
        </w:rPr>
        <w:t>1.3. Immunotherapy in Other Settings</w:t>
      </w:r>
    </w:p>
    <w:p w14:paraId="222AF5B9" w14:textId="77777777" w:rsidR="00D042F0" w:rsidRPr="00D042F0" w:rsidRDefault="00D042F0" w:rsidP="00D042F0">
      <w:pPr>
        <w:numPr>
          <w:ilvl w:val="0"/>
          <w:numId w:val="1"/>
        </w:numPr>
      </w:pPr>
      <w:r w:rsidRPr="00D042F0">
        <w:rPr>
          <w:b/>
          <w:bCs/>
        </w:rPr>
        <w:t>Second-Line Therapy:</w:t>
      </w:r>
      <w:r w:rsidRPr="00D042F0">
        <w:t> For patients who progress on first-line treatment, immunotherapy remains an option. The </w:t>
      </w:r>
      <w:r w:rsidRPr="00D042F0">
        <w:rPr>
          <w:b/>
          <w:bCs/>
        </w:rPr>
        <w:t>KEYNOTE-394</w:t>
      </w:r>
      <w:r w:rsidRPr="00D042F0">
        <w:t> trial, conducted in an Asian population previously treated with sorafenib, showed that pembrolizumab provided a statistically significant OS benefit over placebo (14.6 vs. 13.0 months; HR 0.79) [</w:t>
      </w:r>
      <w:hyperlink r:id="rId26" w:tgtFrame="_blank" w:history="1">
        <w:r w:rsidRPr="00D042F0">
          <w:rPr>
            <w:rStyle w:val="Hyperlink"/>
          </w:rPr>
          <w:t>2</w:t>
        </w:r>
      </w:hyperlink>
      <w:r w:rsidRPr="00D042F0">
        <w:t>].</w:t>
      </w:r>
    </w:p>
    <w:p w14:paraId="652184C2" w14:textId="77777777" w:rsidR="00D042F0" w:rsidRPr="00D042F0" w:rsidRDefault="00D042F0" w:rsidP="00D042F0">
      <w:pPr>
        <w:numPr>
          <w:ilvl w:val="0"/>
          <w:numId w:val="1"/>
        </w:numPr>
      </w:pPr>
      <w:r w:rsidRPr="00D042F0">
        <w:rPr>
          <w:b/>
          <w:bCs/>
        </w:rPr>
        <w:t>Combination with Locoregional Therapy:</w:t>
      </w:r>
      <w:r w:rsidRPr="00D042F0">
        <w:t> The </w:t>
      </w:r>
      <w:r w:rsidRPr="00D042F0">
        <w:rPr>
          <w:b/>
          <w:bCs/>
        </w:rPr>
        <w:t>EMERALD-1</w:t>
      </w:r>
      <w:r w:rsidRPr="00D042F0">
        <w:t xml:space="preserve"> trial explored adding immunotherapy to </w:t>
      </w:r>
      <w:proofErr w:type="spellStart"/>
      <w:r w:rsidRPr="00D042F0">
        <w:t>transarterial</w:t>
      </w:r>
      <w:proofErr w:type="spellEnd"/>
      <w:r w:rsidRPr="00D042F0">
        <w:t xml:space="preserve"> chemoembolization (TACE). The combination of durvalumab plus bevacizumab with TACE improved PFS to 15.0 months versus 8.2 months for TACE alone (HR 0.77), suggesting a new standard for patients with intermediate-stage disease [</w:t>
      </w:r>
      <w:hyperlink r:id="rId27" w:tgtFrame="_blank" w:history="1">
        <w:r w:rsidRPr="00D042F0">
          <w:rPr>
            <w:rStyle w:val="Hyperlink"/>
          </w:rPr>
          <w:t>2</w:t>
        </w:r>
      </w:hyperlink>
      <w:r w:rsidRPr="00D042F0">
        <w:t>].</w:t>
      </w:r>
    </w:p>
    <w:p w14:paraId="51EEFC6A" w14:textId="77777777" w:rsidR="00D042F0" w:rsidRPr="00D042F0" w:rsidRDefault="00D042F0" w:rsidP="00D042F0">
      <w:pPr>
        <w:numPr>
          <w:ilvl w:val="0"/>
          <w:numId w:val="1"/>
        </w:numPr>
      </w:pPr>
      <w:r w:rsidRPr="00D042F0">
        <w:rPr>
          <w:b/>
          <w:bCs/>
        </w:rPr>
        <w:t>Adjuvant Setting:</w:t>
      </w:r>
      <w:r w:rsidRPr="00D042F0">
        <w:t> The role of immunotherapy after curative-intent resection or ablation remains uncertain. The </w:t>
      </w:r>
      <w:r w:rsidRPr="00D042F0">
        <w:rPr>
          <w:b/>
          <w:bCs/>
        </w:rPr>
        <w:t>IMbrave050</w:t>
      </w:r>
      <w:r w:rsidRPr="00D042F0">
        <w:t> trial initially showed a recurrence-free survival (RFS) benefit for adjuvant atezolizumab plus bevacizumab, but an updated analysis found this benefit was not sustained, and the risk-benefit profile does not currently support its routine use [</w:t>
      </w:r>
      <w:hyperlink r:id="rId28" w:tgtFrame="_blank" w:history="1">
        <w:r w:rsidRPr="00D042F0">
          <w:rPr>
            <w:rStyle w:val="Hyperlink"/>
          </w:rPr>
          <w:t>2</w:t>
        </w:r>
      </w:hyperlink>
      <w:r w:rsidRPr="00D042F0">
        <w:t>].</w:t>
      </w:r>
    </w:p>
    <w:p w14:paraId="58564499" w14:textId="77777777" w:rsidR="00D042F0" w:rsidRPr="00D042F0" w:rsidRDefault="00D042F0" w:rsidP="00D042F0">
      <w:pPr>
        <w:rPr>
          <w:b/>
          <w:bCs/>
        </w:rPr>
      </w:pPr>
      <w:r w:rsidRPr="00D042F0">
        <w:rPr>
          <w:b/>
          <w:bCs/>
        </w:rPr>
        <w:lastRenderedPageBreak/>
        <w:t>2. Regulatory Approvals in the US and EU</w:t>
      </w:r>
    </w:p>
    <w:p w14:paraId="00929679" w14:textId="77777777" w:rsidR="00D042F0" w:rsidRPr="00D042F0" w:rsidRDefault="00D042F0" w:rsidP="00D042F0">
      <w:r w:rsidRPr="00D042F0">
        <w:t>The regulatory landscape for HCC immunotherapy has evolved rapidly since 2018. The US Food and Drug Administration (FDA) and the European Medicines Agency (EMA) have approved several agents, primarily based on the pivotal trials discussed above.</w:t>
      </w:r>
    </w:p>
    <w:p w14:paraId="12A36139" w14:textId="77777777" w:rsidR="00D042F0" w:rsidRPr="00D042F0" w:rsidRDefault="00D042F0" w:rsidP="00D042F0">
      <w:r w:rsidRPr="00D042F0">
        <w:rPr>
          <w:b/>
          <w:bCs/>
        </w:rPr>
        <w:t>Table 2: Key FDA and EMA Immunotherapy Approvals for HCC</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8"/>
        <w:gridCol w:w="1409"/>
        <w:gridCol w:w="1533"/>
        <w:gridCol w:w="1753"/>
        <w:gridCol w:w="2020"/>
        <w:gridCol w:w="762"/>
      </w:tblGrid>
      <w:tr w:rsidR="00D042F0" w:rsidRPr="00D042F0" w14:paraId="61876645"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0D58334" w14:textId="77777777" w:rsidR="00D042F0" w:rsidRPr="00D042F0" w:rsidRDefault="00D042F0" w:rsidP="00D042F0">
            <w:r w:rsidRPr="00D042F0">
              <w:t>Agent / Combination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A172969" w14:textId="77777777" w:rsidR="00D042F0" w:rsidRPr="00D042F0" w:rsidRDefault="00D042F0" w:rsidP="00D042F0">
            <w:r w:rsidRPr="00D042F0">
              <w:t>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59C763A" w14:textId="77777777" w:rsidR="00D042F0" w:rsidRPr="00D042F0" w:rsidRDefault="00D042F0" w:rsidP="00D042F0">
            <w:r w:rsidRPr="00D042F0">
              <w:t>Setting</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E705F64" w14:textId="77777777" w:rsidR="00D042F0" w:rsidRPr="00D042F0" w:rsidRDefault="00D042F0" w:rsidP="00D042F0">
            <w:r w:rsidRPr="00D042F0">
              <w:t>FDA Approval Timeline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80874BE" w14:textId="77777777" w:rsidR="00D042F0" w:rsidRPr="00D042F0" w:rsidRDefault="00D042F0" w:rsidP="00D042F0">
            <w:r w:rsidRPr="00D042F0">
              <w:t>EMA Approval Timeline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77368C7" w14:textId="77777777" w:rsidR="00D042F0" w:rsidRPr="00D042F0" w:rsidRDefault="00D042F0" w:rsidP="00D042F0">
            <w:r w:rsidRPr="00D042F0">
              <w:t>Source</w:t>
            </w:r>
          </w:p>
        </w:tc>
      </w:tr>
      <w:tr w:rsidR="00D042F0" w:rsidRPr="00D042F0" w14:paraId="481C0F3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6B45F3" w14:textId="77777777" w:rsidR="00D042F0" w:rsidRPr="00D042F0" w:rsidRDefault="00D042F0" w:rsidP="00D042F0">
            <w:r w:rsidRPr="00D042F0">
              <w:rPr>
                <w:b/>
                <w:bCs/>
              </w:rPr>
              <w:t>Atezolizumab + Bevacizumab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8674FCD" w14:textId="77777777" w:rsidR="00D042F0" w:rsidRPr="00D042F0" w:rsidRDefault="00D042F0" w:rsidP="00D042F0">
            <w:r w:rsidRPr="00D042F0">
              <w:t>Roche / Genentech</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E6D1AC0" w14:textId="77777777" w:rsidR="00D042F0" w:rsidRPr="00D042F0" w:rsidRDefault="00D042F0" w:rsidP="00D042F0">
            <w:r w:rsidRPr="00D042F0">
              <w:t>1L Unresectable HCC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A82931" w14:textId="77777777" w:rsidR="00D042F0" w:rsidRPr="00D042F0" w:rsidRDefault="00D042F0" w:rsidP="00D042F0">
            <w:r w:rsidRPr="00D042F0">
              <w:t>Priority Approval: May 29, 2020; Full Approval: 2023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4116F0" w14:textId="77777777" w:rsidR="00D042F0" w:rsidRPr="00D042F0" w:rsidRDefault="00D042F0" w:rsidP="00D042F0">
            <w:r w:rsidRPr="00D042F0">
              <w:t>Approval: Jan 29, 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C19E2BC" w14:textId="77777777" w:rsidR="00D042F0" w:rsidRPr="00D042F0" w:rsidRDefault="00D042F0" w:rsidP="00D042F0">
            <w:r w:rsidRPr="00D042F0">
              <w:t>[</w:t>
            </w:r>
            <w:hyperlink r:id="rId29" w:tgtFrame="_blank" w:history="1">
              <w:r w:rsidRPr="00D042F0">
                <w:rPr>
                  <w:rStyle w:val="Hyperlink"/>
                </w:rPr>
                <w:t>6</w:t>
              </w:r>
            </w:hyperlink>
            <w:r w:rsidRPr="00D042F0">
              <w:t>]</w:t>
            </w:r>
          </w:p>
        </w:tc>
      </w:tr>
      <w:tr w:rsidR="00D042F0" w:rsidRPr="00D042F0" w14:paraId="3E009FCE"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800D9C" w14:textId="77777777" w:rsidR="00D042F0" w:rsidRPr="00D042F0" w:rsidRDefault="00D042F0" w:rsidP="00D042F0">
            <w:r w:rsidRPr="00D042F0">
              <w:rPr>
                <w:b/>
                <w:bCs/>
              </w:rPr>
              <w:t>Nivolumab + Ipilimumab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6972411" w14:textId="77777777" w:rsidR="00D042F0" w:rsidRPr="00D042F0" w:rsidRDefault="00D042F0" w:rsidP="00D042F0">
            <w:r w:rsidRPr="00D042F0">
              <w:t>Bristol Myers Squibb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4F6688" w14:textId="77777777" w:rsidR="00D042F0" w:rsidRPr="00D042F0" w:rsidRDefault="00D042F0" w:rsidP="00D042F0">
            <w:r w:rsidRPr="00D042F0">
              <w:t>2L HCC (post-sorafenib)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41D5EC0" w14:textId="77777777" w:rsidR="00D042F0" w:rsidRPr="00D042F0" w:rsidRDefault="00D042F0" w:rsidP="00D042F0">
            <w:r w:rsidRPr="00D042F0">
              <w:t>Accelerated Approval: Mar 10, 2020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5C8C299" w14:textId="77777777" w:rsidR="00D042F0" w:rsidRPr="00D042F0" w:rsidRDefault="00D042F0" w:rsidP="00D042F0">
            <w:r w:rsidRPr="00D042F0">
              <w:t>Positive CHMP Opinion: Oct 2020; Approval: Dec 2020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DE08B4" w14:textId="77777777" w:rsidR="00D042F0" w:rsidRPr="00D042F0" w:rsidRDefault="00D042F0" w:rsidP="00D042F0">
            <w:r w:rsidRPr="00D042F0">
              <w:t>[</w:t>
            </w:r>
            <w:hyperlink r:id="rId30" w:tgtFrame="_blank" w:history="1">
              <w:r w:rsidRPr="00D042F0">
                <w:rPr>
                  <w:rStyle w:val="Hyperlink"/>
                </w:rPr>
                <w:t>5</w:t>
              </w:r>
            </w:hyperlink>
            <w:r w:rsidRPr="00D042F0">
              <w:t>]</w:t>
            </w:r>
          </w:p>
        </w:tc>
      </w:tr>
      <w:tr w:rsidR="00D042F0" w:rsidRPr="00D042F0" w14:paraId="3E378CF5"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8FF8771" w14:textId="77777777" w:rsidR="00D042F0" w:rsidRPr="00D042F0" w:rsidRDefault="00D042F0" w:rsidP="00D042F0">
            <w:r w:rsidRPr="00D042F0">
              <w:rPr>
                <w:b/>
                <w:bCs/>
              </w:rPr>
              <w:t>Pembrolizumab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FBD038" w14:textId="77777777" w:rsidR="00D042F0" w:rsidRPr="00D042F0" w:rsidRDefault="00D042F0" w:rsidP="00D042F0">
            <w:r w:rsidRPr="00D042F0">
              <w:t>Merck</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06FC9D7" w14:textId="77777777" w:rsidR="00D042F0" w:rsidRPr="00D042F0" w:rsidRDefault="00D042F0" w:rsidP="00D042F0">
            <w:r w:rsidRPr="00D042F0">
              <w:t>2L HCC (post-sorafenib)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B9EFA3F" w14:textId="77777777" w:rsidR="00D042F0" w:rsidRPr="00D042F0" w:rsidRDefault="00D042F0" w:rsidP="00D042F0">
            <w:r w:rsidRPr="00D042F0">
              <w:t>Accelerated Approval: Nov 09, 2018; Full Approval: Apr 2023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CF3251E" w14:textId="77777777" w:rsidR="00D042F0" w:rsidRPr="00D042F0" w:rsidRDefault="00D042F0" w:rsidP="00D042F0">
            <w:r w:rsidRPr="00D042F0">
              <w:t>Initial application refused (2020); resubmission under review as of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6E3DA39" w14:textId="77777777" w:rsidR="00D042F0" w:rsidRPr="00D042F0" w:rsidRDefault="00D042F0" w:rsidP="00D042F0">
            <w:r w:rsidRPr="00D042F0">
              <w:t>[</w:t>
            </w:r>
            <w:hyperlink r:id="rId31" w:tgtFrame="_blank" w:history="1">
              <w:r w:rsidRPr="00D042F0">
                <w:rPr>
                  <w:rStyle w:val="Hyperlink"/>
                </w:rPr>
                <w:t>6</w:t>
              </w:r>
            </w:hyperlink>
            <w:r w:rsidRPr="00D042F0">
              <w:t>]</w:t>
            </w:r>
          </w:p>
        </w:tc>
      </w:tr>
      <w:tr w:rsidR="00D042F0" w:rsidRPr="00D042F0" w14:paraId="4CBF1C1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275B15" w14:textId="77777777" w:rsidR="00D042F0" w:rsidRPr="00D042F0" w:rsidRDefault="00D042F0" w:rsidP="00D042F0">
            <w:r w:rsidRPr="00D042F0">
              <w:rPr>
                <w:b/>
                <w:bCs/>
              </w:rPr>
              <w:t>Durvalumab + Tremelimumab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4DE2ACB" w14:textId="77777777" w:rsidR="00D042F0" w:rsidRPr="00D042F0" w:rsidRDefault="00D042F0" w:rsidP="00D042F0">
            <w:r w:rsidRPr="00D042F0">
              <w:t>AstraZeneca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A1C7274" w14:textId="77777777" w:rsidR="00D042F0" w:rsidRPr="00D042F0" w:rsidRDefault="00D042F0" w:rsidP="00D042F0">
            <w:r w:rsidRPr="00D042F0">
              <w:t>1L Unresectable HCC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05FBBA3" w14:textId="77777777" w:rsidR="00D042F0" w:rsidRPr="00D042F0" w:rsidRDefault="00D042F0" w:rsidP="00D042F0">
            <w:r w:rsidRPr="00D042F0">
              <w:t>Approval based on HIMALAYA trial results.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3AE1A7A" w14:textId="77777777" w:rsidR="00D042F0" w:rsidRPr="00D042F0" w:rsidRDefault="00D042F0" w:rsidP="00D042F0">
            <w:r w:rsidRPr="00D042F0">
              <w:t>Approval based on HIMALAYA trial results.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3AB85A" w14:textId="77777777" w:rsidR="00D042F0" w:rsidRPr="00D042F0" w:rsidRDefault="00D042F0" w:rsidP="00D042F0">
            <w:r w:rsidRPr="00D042F0">
              <w:t>[</w:t>
            </w:r>
            <w:hyperlink r:id="rId32" w:tgtFrame="_blank" w:history="1">
              <w:r w:rsidRPr="00D042F0">
                <w:rPr>
                  <w:rStyle w:val="Hyperlink"/>
                </w:rPr>
                <w:t>2</w:t>
              </w:r>
            </w:hyperlink>
            <w:r w:rsidRPr="00D042F0">
              <w:t>]</w:t>
            </w:r>
          </w:p>
        </w:tc>
      </w:tr>
    </w:tbl>
    <w:p w14:paraId="5AA5EF41" w14:textId="77777777" w:rsidR="00D042F0" w:rsidRPr="00D042F0" w:rsidRDefault="00D042F0" w:rsidP="00D042F0">
      <w:r w:rsidRPr="00D042F0">
        <w:t>As of 2025, no CAR-T cell therapies have been approved by either the FDA or EMA for any solid tumor, including HCC. Registrational submissions for such therapies are not anticipated before 2027-2028 [</w:t>
      </w:r>
      <w:hyperlink r:id="rId33" w:tgtFrame="_blank" w:history="1">
        <w:r w:rsidRPr="00D042F0">
          <w:rPr>
            <w:rStyle w:val="Hyperlink"/>
          </w:rPr>
          <w:t>7</w:t>
        </w:r>
      </w:hyperlink>
      <w:r w:rsidRPr="00D042F0">
        <w:t>][</w:t>
      </w:r>
      <w:hyperlink r:id="rId34" w:tgtFrame="_blank" w:history="1">
        <w:r w:rsidRPr="00D042F0">
          <w:rPr>
            <w:rStyle w:val="Hyperlink"/>
          </w:rPr>
          <w:t>8</w:t>
        </w:r>
      </w:hyperlink>
      <w:r w:rsidRPr="00D042F0">
        <w:t>].</w:t>
      </w:r>
    </w:p>
    <w:p w14:paraId="2AD87A57" w14:textId="77777777" w:rsidR="00D042F0" w:rsidRPr="00D042F0" w:rsidRDefault="00D042F0" w:rsidP="00D042F0">
      <w:pPr>
        <w:rPr>
          <w:b/>
          <w:bCs/>
        </w:rPr>
      </w:pPr>
      <w:r w:rsidRPr="00D042F0">
        <w:rPr>
          <w:b/>
          <w:bCs/>
        </w:rPr>
        <w:t>3. Market Size, Forecast, and Competitive Landscape</w:t>
      </w:r>
    </w:p>
    <w:p w14:paraId="4DDA1A65" w14:textId="77777777" w:rsidR="00D042F0" w:rsidRPr="00D042F0" w:rsidRDefault="00D042F0" w:rsidP="00D042F0">
      <w:r w:rsidRPr="00D042F0">
        <w:t>The adoption of high-cost immunotherapy combinations has fueled significant market growth for liver cancer therapeutics.</w:t>
      </w:r>
    </w:p>
    <w:p w14:paraId="433376C6" w14:textId="77777777" w:rsidR="00D042F0" w:rsidRPr="00D042F0" w:rsidRDefault="00D042F0" w:rsidP="00D042F0">
      <w:pPr>
        <w:rPr>
          <w:b/>
          <w:bCs/>
        </w:rPr>
      </w:pPr>
      <w:r w:rsidRPr="00D042F0">
        <w:rPr>
          <w:b/>
          <w:bCs/>
        </w:rPr>
        <w:t>3.1. Market Size and Forecast</w:t>
      </w:r>
    </w:p>
    <w:p w14:paraId="28605ADB" w14:textId="77777777" w:rsidR="00D042F0" w:rsidRPr="00D042F0" w:rsidRDefault="00D042F0" w:rsidP="00D042F0">
      <w:r w:rsidRPr="00D042F0">
        <w:t>The provided financial analysis covers the entire liver cancer drug market, in which immunotherapy is the largest and fastest-growing segment.</w:t>
      </w:r>
    </w:p>
    <w:p w14:paraId="138A3DA2" w14:textId="77777777" w:rsidR="00D042F0" w:rsidRPr="00D042F0" w:rsidRDefault="00D042F0" w:rsidP="00D042F0">
      <w:pPr>
        <w:numPr>
          <w:ilvl w:val="0"/>
          <w:numId w:val="2"/>
        </w:numPr>
      </w:pPr>
      <w:r w:rsidRPr="00D042F0">
        <w:rPr>
          <w:b/>
          <w:bCs/>
        </w:rPr>
        <w:lastRenderedPageBreak/>
        <w:t>United States:</w:t>
      </w:r>
      <w:r w:rsidRPr="00D042F0">
        <w:t> The market was valued at </w:t>
      </w:r>
      <w:r w:rsidRPr="00D042F0">
        <w:rPr>
          <w:b/>
          <w:bCs/>
        </w:rPr>
        <w:t>$1.30 billion in 2024</w:t>
      </w:r>
      <w:r w:rsidRPr="00D042F0">
        <w:t> and is projected to reach </w:t>
      </w:r>
      <w:r w:rsidRPr="00D042F0">
        <w:rPr>
          <w:b/>
          <w:bCs/>
        </w:rPr>
        <w:t>$3.43 billion by 2030</w:t>
      </w:r>
      <w:r w:rsidRPr="00D042F0">
        <w:t>, reflecting a powerful CAGR of approximately 17% [</w:t>
      </w:r>
      <w:hyperlink r:id="rId35" w:tgtFrame="_blank" w:history="1">
        <w:r w:rsidRPr="00D042F0">
          <w:rPr>
            <w:rStyle w:val="Hyperlink"/>
          </w:rPr>
          <w:t>3</w:t>
        </w:r>
      </w:hyperlink>
      <w:r w:rsidRPr="00D042F0">
        <w:t>].</w:t>
      </w:r>
    </w:p>
    <w:p w14:paraId="396B1A90" w14:textId="77777777" w:rsidR="00D042F0" w:rsidRPr="00D042F0" w:rsidRDefault="00D042F0" w:rsidP="00D042F0">
      <w:pPr>
        <w:numPr>
          <w:ilvl w:val="0"/>
          <w:numId w:val="2"/>
        </w:numPr>
      </w:pPr>
      <w:r w:rsidRPr="00D042F0">
        <w:rPr>
          <w:b/>
          <w:bCs/>
        </w:rPr>
        <w:t>European Union (Top 5):</w:t>
      </w:r>
      <w:r w:rsidRPr="00D042F0">
        <w:t> The market stood at </w:t>
      </w:r>
      <w:r w:rsidRPr="00D042F0">
        <w:rPr>
          <w:b/>
          <w:bCs/>
        </w:rPr>
        <w:t>$1.08 billion in 2024</w:t>
      </w:r>
      <w:r w:rsidRPr="00D042F0">
        <w:t>. With a reported CAGR of </w:t>
      </w:r>
      <w:r w:rsidRPr="00D042F0">
        <w:rPr>
          <w:b/>
          <w:bCs/>
        </w:rPr>
        <w:t>17.8% for 2025-2030</w:t>
      </w:r>
      <w:r w:rsidRPr="00D042F0">
        <w:t>, the market is forecasted to reach approximately </w:t>
      </w:r>
      <w:r w:rsidRPr="00D042F0">
        <w:rPr>
          <w:b/>
          <w:bCs/>
        </w:rPr>
        <w:t>$2.55 billion by 2030</w:t>
      </w:r>
      <w:r w:rsidRPr="00D042F0">
        <w:t> [</w:t>
      </w:r>
      <w:hyperlink r:id="rId36" w:tgtFrame="_blank" w:history="1">
        <w:r w:rsidRPr="00D042F0">
          <w:rPr>
            <w:rStyle w:val="Hyperlink"/>
          </w:rPr>
          <w:t>4</w:t>
        </w:r>
      </w:hyperlink>
      <w:r w:rsidRPr="00D042F0">
        <w:t>].</w:t>
      </w:r>
    </w:p>
    <w:p w14:paraId="5CE6CE51" w14:textId="77777777" w:rsidR="00D042F0" w:rsidRPr="00D042F0" w:rsidRDefault="00D042F0" w:rsidP="00D042F0">
      <w:r w:rsidRPr="00D042F0">
        <w:rPr>
          <w:i/>
          <w:iCs/>
        </w:rPr>
        <w:t>Note: The source reports did not provide a discrete 2025 market size figure. The data represents the total liver cancer drug market, not an isolated immunotherapy sub-segment [</w:t>
      </w:r>
      <w:hyperlink r:id="rId37" w:tgtFrame="_blank" w:history="1">
        <w:r w:rsidRPr="00D042F0">
          <w:rPr>
            <w:rStyle w:val="Hyperlink"/>
            <w:i/>
            <w:iCs/>
          </w:rPr>
          <w:t>3</w:t>
        </w:r>
      </w:hyperlink>
      <w:r w:rsidRPr="00D042F0">
        <w:rPr>
          <w:i/>
          <w:iCs/>
        </w:rPr>
        <w:t>][</w:t>
      </w:r>
      <w:hyperlink r:id="rId38" w:tgtFrame="_blank" w:history="1">
        <w:r w:rsidRPr="00D042F0">
          <w:rPr>
            <w:rStyle w:val="Hyperlink"/>
            <w:i/>
            <w:iCs/>
          </w:rPr>
          <w:t>4</w:t>
        </w:r>
      </w:hyperlink>
      <w:r w:rsidRPr="00D042F0">
        <w:rPr>
          <w:i/>
          <w:iCs/>
        </w:rPr>
        <w:t>].</w:t>
      </w:r>
    </w:p>
    <w:p w14:paraId="1D85E89F" w14:textId="77777777" w:rsidR="00D042F0" w:rsidRPr="00D042F0" w:rsidRDefault="00D042F0" w:rsidP="00D042F0">
      <w:pPr>
        <w:rPr>
          <w:b/>
          <w:bCs/>
        </w:rPr>
      </w:pPr>
      <w:r w:rsidRPr="00D042F0">
        <w:rPr>
          <w:b/>
          <w:bCs/>
        </w:rPr>
        <w:t>3.2. Competitive Landscape</w:t>
      </w:r>
    </w:p>
    <w:p w14:paraId="3539E485" w14:textId="77777777" w:rsidR="00D042F0" w:rsidRPr="00D042F0" w:rsidRDefault="00D042F0" w:rsidP="00D042F0">
      <w:r w:rsidRPr="00D042F0">
        <w:t>The HCC immunotherapy market is led by a few major pharmaceutical companies that have successfully brought checkpoint inhibitors to market.</w:t>
      </w:r>
    </w:p>
    <w:p w14:paraId="0900841B" w14:textId="77777777" w:rsidR="00D042F0" w:rsidRPr="00D042F0" w:rsidRDefault="00D042F0" w:rsidP="00D042F0">
      <w:r w:rsidRPr="00D042F0">
        <w:rPr>
          <w:b/>
          <w:bCs/>
        </w:rPr>
        <w:t>Table 3: Competitive Positioning of Major Companies in HCC Immunotherapy</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6"/>
        <w:gridCol w:w="1848"/>
        <w:gridCol w:w="1824"/>
        <w:gridCol w:w="3495"/>
        <w:gridCol w:w="762"/>
      </w:tblGrid>
      <w:tr w:rsidR="00D042F0" w:rsidRPr="00D042F0" w14:paraId="378B9650"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3D8C5B7" w14:textId="77777777" w:rsidR="00D042F0" w:rsidRPr="00D042F0" w:rsidRDefault="00D042F0" w:rsidP="00D042F0">
            <w:r w:rsidRPr="00D042F0">
              <w:t>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E25E960" w14:textId="77777777" w:rsidR="00D042F0" w:rsidRPr="00D042F0" w:rsidRDefault="00D042F0" w:rsidP="00D042F0">
            <w:r w:rsidRPr="00D042F0">
              <w:t>Key HCC Immunotherapy Asset(s)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F76F74A" w14:textId="77777777" w:rsidR="00D042F0" w:rsidRPr="00D042F0" w:rsidRDefault="00D042F0" w:rsidP="00D042F0">
            <w:r w:rsidRPr="00D042F0">
              <w:t>Estimated 2024 HCC Revenue*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1F9D5E8" w14:textId="77777777" w:rsidR="00D042F0" w:rsidRPr="00D042F0" w:rsidRDefault="00D042F0" w:rsidP="00D042F0">
            <w:r w:rsidRPr="00D042F0">
              <w:t>Competitive Position &amp; Strategy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8900138" w14:textId="77777777" w:rsidR="00D042F0" w:rsidRPr="00D042F0" w:rsidRDefault="00D042F0" w:rsidP="00D042F0">
            <w:r w:rsidRPr="00D042F0">
              <w:t>Source</w:t>
            </w:r>
          </w:p>
        </w:tc>
      </w:tr>
      <w:tr w:rsidR="00D042F0" w:rsidRPr="00D042F0" w14:paraId="41C6DF1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125428" w14:textId="77777777" w:rsidR="00D042F0" w:rsidRPr="00D042F0" w:rsidRDefault="00D042F0" w:rsidP="00D042F0">
            <w:r w:rsidRPr="00D042F0">
              <w:rPr>
                <w:b/>
                <w:bCs/>
              </w:rPr>
              <w:t>Roche / Genentech</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73334E2" w14:textId="77777777" w:rsidR="00D042F0" w:rsidRPr="00D042F0" w:rsidRDefault="00D042F0" w:rsidP="00D042F0">
            <w:r w:rsidRPr="00D042F0">
              <w:t>Atezolizumab + Bevacizumab (</w:t>
            </w:r>
            <w:proofErr w:type="spellStart"/>
            <w:r w:rsidRPr="00D042F0">
              <w:t>Tecentriq</w:t>
            </w:r>
            <w:proofErr w:type="spellEnd"/>
            <w:r w:rsidRPr="00D042F0">
              <w:t xml:space="preserve"> + Avastin)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2809E57" w14:textId="77777777" w:rsidR="00D042F0" w:rsidRPr="00D042F0" w:rsidRDefault="00D042F0" w:rsidP="00D042F0">
            <w:r w:rsidRPr="00D042F0">
              <w:t xml:space="preserve">~$1.1 </w:t>
            </w:r>
            <w:proofErr w:type="gramStart"/>
            <w:r w:rsidRPr="00D042F0">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B47458C" w14:textId="77777777" w:rsidR="00D042F0" w:rsidRPr="00D042F0" w:rsidRDefault="00D042F0" w:rsidP="00D042F0">
            <w:r w:rsidRPr="00D042F0">
              <w:rPr>
                <w:b/>
                <w:bCs/>
              </w:rPr>
              <w:t>Market Leader.</w:t>
            </w:r>
            <w:r w:rsidRPr="00D042F0">
              <w:t> Controls the lucrative first-line segment with the IMbrave150 regimen. Faces increasing competition from new IO/IO and IO/TKI combinations.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843F2CF" w14:textId="77777777" w:rsidR="00D042F0" w:rsidRPr="00D042F0" w:rsidRDefault="00D042F0" w:rsidP="00D042F0">
            <w:r w:rsidRPr="00D042F0">
              <w:t>[</w:t>
            </w:r>
            <w:hyperlink r:id="rId39" w:tgtFrame="_blank" w:history="1">
              <w:r w:rsidRPr="00D042F0">
                <w:rPr>
                  <w:rStyle w:val="Hyperlink"/>
                </w:rPr>
                <w:t>3</w:t>
              </w:r>
            </w:hyperlink>
            <w:r w:rsidRPr="00D042F0">
              <w:t>]</w:t>
            </w:r>
          </w:p>
        </w:tc>
      </w:tr>
      <w:tr w:rsidR="00D042F0" w:rsidRPr="00D042F0" w14:paraId="5F9B77A2"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5687049" w14:textId="77777777" w:rsidR="00D042F0" w:rsidRPr="00D042F0" w:rsidRDefault="00D042F0" w:rsidP="00D042F0">
            <w:r w:rsidRPr="00D042F0">
              <w:rPr>
                <w:b/>
                <w:bCs/>
              </w:rPr>
              <w:t>Bristol Myers Squibb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A86395" w14:textId="77777777" w:rsidR="00D042F0" w:rsidRPr="00D042F0" w:rsidRDefault="00D042F0" w:rsidP="00D042F0">
            <w:r w:rsidRPr="00D042F0">
              <w:t>Nivolumab + Ipilimumab (</w:t>
            </w:r>
            <w:proofErr w:type="spellStart"/>
            <w:r w:rsidRPr="00D042F0">
              <w:t>Opdivo</w:t>
            </w:r>
            <w:proofErr w:type="spellEnd"/>
            <w:r w:rsidRPr="00D042F0">
              <w:t xml:space="preserve"> + </w:t>
            </w:r>
            <w:proofErr w:type="spellStart"/>
            <w:r w:rsidRPr="00D042F0">
              <w:t>Yervoy</w:t>
            </w:r>
            <w:proofErr w:type="spellEnd"/>
            <w:r w:rsidRPr="00D042F0">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1011468" w14:textId="77777777" w:rsidR="00D042F0" w:rsidRPr="00D042F0" w:rsidRDefault="00D042F0" w:rsidP="00D042F0">
            <w:r w:rsidRPr="00D042F0">
              <w:t xml:space="preserve">~$550-600 </w:t>
            </w:r>
            <w:proofErr w:type="gramStart"/>
            <w:r w:rsidRPr="00D042F0">
              <w:t>Million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78CC5A" w14:textId="77777777" w:rsidR="00D042F0" w:rsidRPr="00D042F0" w:rsidRDefault="00D042F0" w:rsidP="00D042F0">
            <w:r w:rsidRPr="00D042F0">
              <w:rPr>
                <w:b/>
                <w:bCs/>
              </w:rPr>
              <w:t>Strong Competitor.</w:t>
            </w:r>
            <w:r w:rsidRPr="00D042F0">
              <w:t xml:space="preserve"> Established in the </w:t>
            </w:r>
            <w:proofErr w:type="gramStart"/>
            <w:r w:rsidRPr="00D042F0">
              <w:t>second-line</w:t>
            </w:r>
            <w:proofErr w:type="gramEnd"/>
            <w:r w:rsidRPr="00D042F0">
              <w:t xml:space="preserve"> setting and gaining traction in the </w:t>
            </w:r>
            <w:proofErr w:type="gramStart"/>
            <w:r w:rsidRPr="00D042F0">
              <w:t>first-line</w:t>
            </w:r>
            <w:proofErr w:type="gramEnd"/>
            <w:r w:rsidRPr="00D042F0">
              <w:t xml:space="preserve"> with </w:t>
            </w:r>
            <w:proofErr w:type="spellStart"/>
            <w:r w:rsidRPr="00D042F0">
              <w:t>CheckMate</w:t>
            </w:r>
            <w:proofErr w:type="spellEnd"/>
            <w:r w:rsidRPr="00D042F0">
              <w:t xml:space="preserve"> 9DW data. Needs new data to defend share against emerging combinations.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4441C2" w14:textId="77777777" w:rsidR="00D042F0" w:rsidRPr="00D042F0" w:rsidRDefault="00D042F0" w:rsidP="00D042F0">
            <w:r w:rsidRPr="00D042F0">
              <w:t>[</w:t>
            </w:r>
            <w:hyperlink r:id="rId40" w:tgtFrame="_blank" w:history="1">
              <w:r w:rsidRPr="00D042F0">
                <w:rPr>
                  <w:rStyle w:val="Hyperlink"/>
                </w:rPr>
                <w:t>3</w:t>
              </w:r>
            </w:hyperlink>
            <w:r w:rsidRPr="00D042F0">
              <w:t>]</w:t>
            </w:r>
          </w:p>
        </w:tc>
      </w:tr>
      <w:tr w:rsidR="00D042F0" w:rsidRPr="00D042F0" w14:paraId="3389CF29"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49641E" w14:textId="77777777" w:rsidR="00D042F0" w:rsidRPr="00D042F0" w:rsidRDefault="00D042F0" w:rsidP="00D042F0">
            <w:r w:rsidRPr="00D042F0">
              <w:rPr>
                <w:b/>
                <w:bCs/>
              </w:rPr>
              <w:t>Merck</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C92C863" w14:textId="77777777" w:rsidR="00D042F0" w:rsidRPr="00D042F0" w:rsidRDefault="00D042F0" w:rsidP="00D042F0">
            <w:r w:rsidRPr="00D042F0">
              <w:t>Pembrolizumab (Keytruda)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1E509C" w14:textId="77777777" w:rsidR="00D042F0" w:rsidRPr="00D042F0" w:rsidRDefault="00D042F0" w:rsidP="00D042F0">
            <w:r w:rsidRPr="00D042F0">
              <w:t xml:space="preserve">&lt;$300 </w:t>
            </w:r>
            <w:proofErr w:type="gramStart"/>
            <w:r w:rsidRPr="00D042F0">
              <w:t>Million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0757ED" w14:textId="77777777" w:rsidR="00D042F0" w:rsidRPr="00D042F0" w:rsidRDefault="00D042F0" w:rsidP="00D042F0">
            <w:r w:rsidRPr="00D042F0">
              <w:rPr>
                <w:b/>
                <w:bCs/>
              </w:rPr>
              <w:t>Challenger.</w:t>
            </w:r>
            <w:r w:rsidRPr="00D042F0">
              <w:t> Limited to second/</w:t>
            </w:r>
            <w:proofErr w:type="gramStart"/>
            <w:r w:rsidRPr="00D042F0">
              <w:t>third-line</w:t>
            </w:r>
            <w:proofErr w:type="gramEnd"/>
            <w:r w:rsidRPr="00D042F0">
              <w:t xml:space="preserve"> use in most markets due to the dominance of first-line combinations. Strategy focuses on combinations with </w:t>
            </w:r>
            <w:proofErr w:type="spellStart"/>
            <w:r w:rsidRPr="00D042F0">
              <w:t>lenvatinib</w:t>
            </w:r>
            <w:proofErr w:type="spellEnd"/>
            <w:r w:rsidRPr="00D042F0">
              <w:t xml:space="preserve"> (LEAP-002) and novel agents to regain share.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C4DE1C" w14:textId="77777777" w:rsidR="00D042F0" w:rsidRPr="00D042F0" w:rsidRDefault="00D042F0" w:rsidP="00D042F0">
            <w:r w:rsidRPr="00D042F0">
              <w:t>[</w:t>
            </w:r>
            <w:hyperlink r:id="rId41" w:tgtFrame="_blank" w:history="1">
              <w:r w:rsidRPr="00D042F0">
                <w:rPr>
                  <w:rStyle w:val="Hyperlink"/>
                </w:rPr>
                <w:t>3</w:t>
              </w:r>
            </w:hyperlink>
            <w:r w:rsidRPr="00D042F0">
              <w:t>]</w:t>
            </w:r>
          </w:p>
        </w:tc>
      </w:tr>
      <w:tr w:rsidR="00D042F0" w:rsidRPr="00D042F0" w14:paraId="7AFED69E"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DD1C74" w14:textId="77777777" w:rsidR="00D042F0" w:rsidRPr="00D042F0" w:rsidRDefault="00D042F0" w:rsidP="00D042F0">
            <w:r w:rsidRPr="00D042F0">
              <w:rPr>
                <w:b/>
                <w:bCs/>
              </w:rPr>
              <w:lastRenderedPageBreak/>
              <w:t>AstraZeneca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5996FB2" w14:textId="77777777" w:rsidR="00D042F0" w:rsidRPr="00D042F0" w:rsidRDefault="00D042F0" w:rsidP="00D042F0">
            <w:r w:rsidRPr="00D042F0">
              <w:t xml:space="preserve">Durvalumab + Tremelimumab (Imfinzi + </w:t>
            </w:r>
            <w:proofErr w:type="spellStart"/>
            <w:r w:rsidRPr="00D042F0">
              <w:t>Imjudo</w:t>
            </w:r>
            <w:proofErr w:type="spellEnd"/>
            <w:r w:rsidRPr="00D042F0">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5EEC89" w14:textId="77777777" w:rsidR="00D042F0" w:rsidRPr="00D042F0" w:rsidRDefault="00D042F0" w:rsidP="00D042F0">
            <w:r w:rsidRPr="00D042F0">
              <w:t>Not specified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6A51AB0" w14:textId="77777777" w:rsidR="00D042F0" w:rsidRPr="00D042F0" w:rsidRDefault="00D042F0" w:rsidP="00D042F0">
            <w:r w:rsidRPr="00D042F0">
              <w:rPr>
                <w:b/>
                <w:bCs/>
              </w:rPr>
              <w:t>Key Player.</w:t>
            </w:r>
            <w:r w:rsidRPr="00D042F0">
              <w:t> The HIMALAYA regimen offers a differentiated, chemotherapy-free, dual-IO option with strong long-term survival data, positioning it as a major competitor to both Roche and BMS.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6FDA062" w14:textId="77777777" w:rsidR="00D042F0" w:rsidRPr="00D042F0" w:rsidRDefault="00D042F0" w:rsidP="00D042F0">
            <w:r w:rsidRPr="00D042F0">
              <w:t>[</w:t>
            </w:r>
            <w:hyperlink r:id="rId42" w:tgtFrame="_blank" w:history="1">
              <w:r w:rsidRPr="00D042F0">
                <w:rPr>
                  <w:rStyle w:val="Hyperlink"/>
                </w:rPr>
                <w:t>2</w:t>
              </w:r>
            </w:hyperlink>
            <w:r w:rsidRPr="00D042F0">
              <w:t>]</w:t>
            </w:r>
          </w:p>
        </w:tc>
      </w:tr>
      <w:tr w:rsidR="00D042F0" w:rsidRPr="00D042F0" w14:paraId="2D605E9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7C77E4" w14:textId="77777777" w:rsidR="00D042F0" w:rsidRPr="00D042F0" w:rsidRDefault="00D042F0" w:rsidP="00D042F0">
            <w:r w:rsidRPr="00D042F0">
              <w:rPr>
                <w:b/>
                <w:bCs/>
              </w:rPr>
              <w:t>Gilead Sciences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B102F7B" w14:textId="77777777" w:rsidR="00D042F0" w:rsidRPr="00D042F0" w:rsidRDefault="00D042F0" w:rsidP="00D042F0">
            <w:r w:rsidRPr="00D042F0">
              <w:t>None approved (GS-1473 in Phase 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FA70BA" w14:textId="77777777" w:rsidR="00D042F0" w:rsidRPr="00D042F0" w:rsidRDefault="00D042F0" w:rsidP="00D042F0">
            <w:r w:rsidRPr="00D042F0">
              <w:t>No approved immunotherapy revenue in HCC.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C370C1" w14:textId="77777777" w:rsidR="00D042F0" w:rsidRPr="00D042F0" w:rsidRDefault="00D042F0" w:rsidP="00D042F0">
            <w:r w:rsidRPr="00D042F0">
              <w:rPr>
                <w:b/>
                <w:bCs/>
              </w:rPr>
              <w:t>Future Entrant.</w:t>
            </w:r>
            <w:r w:rsidRPr="00D042F0">
              <w:t> </w:t>
            </w:r>
            <w:proofErr w:type="gramStart"/>
            <w:r w:rsidRPr="00D042F0">
              <w:t>Currently</w:t>
            </w:r>
            <w:proofErr w:type="gramEnd"/>
            <w:r w:rsidRPr="00D042F0">
              <w:t xml:space="preserve"> has a competitive gap but is building an early-stage IO pipeline and may enter the market through partnerships or acquisitions.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4C96625" w14:textId="77777777" w:rsidR="00D042F0" w:rsidRPr="00D042F0" w:rsidRDefault="00D042F0" w:rsidP="00D042F0">
            <w:r w:rsidRPr="00D042F0">
              <w:t>[</w:t>
            </w:r>
            <w:hyperlink r:id="rId43" w:tgtFrame="_blank" w:history="1">
              <w:r w:rsidRPr="00D042F0">
                <w:rPr>
                  <w:rStyle w:val="Hyperlink"/>
                </w:rPr>
                <w:t>3</w:t>
              </w:r>
            </w:hyperlink>
            <w:r w:rsidRPr="00D042F0">
              <w:t>]</w:t>
            </w:r>
          </w:p>
        </w:tc>
      </w:tr>
    </w:tbl>
    <w:p w14:paraId="651A0685" w14:textId="77777777" w:rsidR="00D042F0" w:rsidRPr="00D042F0" w:rsidRDefault="00D042F0" w:rsidP="00D042F0">
      <w:r w:rsidRPr="00D042F0">
        <w:rPr>
          <w:i/>
          <w:iCs/>
        </w:rPr>
        <w:t>*Exact HCC-only sales are not disclosed by companies; values are based on consensus sell-side analyst estimates and are directional [</w:t>
      </w:r>
      <w:hyperlink r:id="rId44" w:tgtFrame="_blank" w:history="1">
        <w:r w:rsidRPr="00D042F0">
          <w:rPr>
            <w:rStyle w:val="Hyperlink"/>
            <w:i/>
            <w:iCs/>
          </w:rPr>
          <w:t>3</w:t>
        </w:r>
      </w:hyperlink>
      <w:r w:rsidRPr="00D042F0">
        <w:rPr>
          <w:i/>
          <w:iCs/>
        </w:rPr>
        <w:t>].</w:t>
      </w:r>
    </w:p>
    <w:p w14:paraId="32790E95" w14:textId="77777777" w:rsidR="00D042F0" w:rsidRPr="00D042F0" w:rsidRDefault="00D042F0" w:rsidP="00D042F0">
      <w:pPr>
        <w:rPr>
          <w:b/>
          <w:bCs/>
        </w:rPr>
      </w:pPr>
      <w:r w:rsidRPr="00D042F0">
        <w:rPr>
          <w:b/>
          <w:bCs/>
        </w:rPr>
        <w:t>4. The Development Pipeline: A Five-Year Outlook (2025-2030)</w:t>
      </w:r>
    </w:p>
    <w:p w14:paraId="6931440A" w14:textId="77777777" w:rsidR="00D042F0" w:rsidRPr="00D042F0" w:rsidRDefault="00D042F0" w:rsidP="00D042F0">
      <w:r w:rsidRPr="00D042F0">
        <w:t>The future of liver cancer immunotherapy will be shaped by the extensive development pipeline. Analysis of over 200 programs in the US and EU reveals key trends [</w:t>
      </w:r>
      <w:hyperlink r:id="rId45" w:tgtFrame="_blank" w:history="1">
        <w:r w:rsidRPr="00D042F0">
          <w:rPr>
            <w:rStyle w:val="Hyperlink"/>
          </w:rPr>
          <w:t>1</w:t>
        </w:r>
      </w:hyperlink>
      <w:r w:rsidRPr="00D042F0">
        <w:t>].</w:t>
      </w:r>
    </w:p>
    <w:p w14:paraId="220C32A3" w14:textId="77777777" w:rsidR="00D042F0" w:rsidRPr="00D042F0" w:rsidRDefault="00D042F0" w:rsidP="00D042F0">
      <w:pPr>
        <w:rPr>
          <w:b/>
          <w:bCs/>
        </w:rPr>
      </w:pPr>
      <w:r w:rsidRPr="00D042F0">
        <w:rPr>
          <w:b/>
          <w:bCs/>
        </w:rPr>
        <w:t>4.1. Pipeline by Development Phase</w:t>
      </w:r>
    </w:p>
    <w:p w14:paraId="48FF6C7C" w14:textId="77777777" w:rsidR="00D042F0" w:rsidRPr="00D042F0" w:rsidRDefault="00D042F0" w:rsidP="00D042F0">
      <w:r w:rsidRPr="00D042F0">
        <w:t xml:space="preserve">The pipeline is heavily concentrated </w:t>
      </w:r>
      <w:proofErr w:type="gramStart"/>
      <w:r w:rsidRPr="00D042F0">
        <w:t>in</w:t>
      </w:r>
      <w:proofErr w:type="gramEnd"/>
      <w:r w:rsidRPr="00D042F0">
        <w:t xml:space="preserve"> early-stage research, which promises future innovation but also underscores the high attrition rates in drug development.</w:t>
      </w:r>
    </w:p>
    <w:p w14:paraId="09F19FA6" w14:textId="77777777" w:rsidR="00D042F0" w:rsidRPr="00D042F0" w:rsidRDefault="00D042F0" w:rsidP="00D042F0">
      <w:r w:rsidRPr="00D042F0">
        <w:rPr>
          <w:b/>
          <w:bCs/>
        </w:rPr>
        <w:t>Table 4: Liver Cancer Immunotherapy Pipeline Distribution by Phase</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2166"/>
        <w:gridCol w:w="2331"/>
      </w:tblGrid>
      <w:tr w:rsidR="00D042F0" w:rsidRPr="00D042F0" w14:paraId="2E03F5AD"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5866B8A" w14:textId="77777777" w:rsidR="00D042F0" w:rsidRPr="00D042F0" w:rsidRDefault="00D042F0" w:rsidP="00D042F0">
            <w:r w:rsidRPr="00D042F0">
              <w:t>Phase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0D84481" w14:textId="77777777" w:rsidR="00D042F0" w:rsidRPr="00D042F0" w:rsidRDefault="00D042F0" w:rsidP="00D042F0">
            <w:r w:rsidRPr="00D042F0">
              <w:t>Number of Programs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3C8EB9E" w14:textId="77777777" w:rsidR="00D042F0" w:rsidRPr="00D042F0" w:rsidRDefault="00D042F0" w:rsidP="00D042F0">
            <w:r w:rsidRPr="00D042F0">
              <w:t>Percentage of Pipeline</w:t>
            </w:r>
          </w:p>
        </w:tc>
      </w:tr>
      <w:tr w:rsidR="00D042F0" w:rsidRPr="00D042F0" w14:paraId="36B31F8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8F4A930" w14:textId="77777777" w:rsidR="00D042F0" w:rsidRPr="00D042F0" w:rsidRDefault="00D042F0" w:rsidP="00D042F0">
            <w:r w:rsidRPr="00D042F0">
              <w:t>Preclinical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0B9140" w14:textId="77777777" w:rsidR="00D042F0" w:rsidRPr="00D042F0" w:rsidRDefault="00D042F0" w:rsidP="00D042F0">
            <w:r w:rsidRPr="00D042F0">
              <w:t>142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CFEC91" w14:textId="77777777" w:rsidR="00D042F0" w:rsidRPr="00D042F0" w:rsidRDefault="00D042F0" w:rsidP="00D042F0">
            <w:r w:rsidRPr="00D042F0">
              <w:t>65.4%</w:t>
            </w:r>
          </w:p>
        </w:tc>
      </w:tr>
      <w:tr w:rsidR="00D042F0" w:rsidRPr="00D042F0" w14:paraId="31B7F32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CCBE35" w14:textId="77777777" w:rsidR="00D042F0" w:rsidRPr="00D042F0" w:rsidRDefault="00D042F0" w:rsidP="00D042F0">
            <w:r w:rsidRPr="00D042F0">
              <w:t>Phase 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9A9B406" w14:textId="77777777" w:rsidR="00D042F0" w:rsidRPr="00D042F0" w:rsidRDefault="00D042F0" w:rsidP="00D042F0">
            <w:r w:rsidRPr="00D042F0">
              <w:t>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E6C0992" w14:textId="77777777" w:rsidR="00D042F0" w:rsidRPr="00D042F0" w:rsidRDefault="00D042F0" w:rsidP="00D042F0">
            <w:r w:rsidRPr="00D042F0">
              <w:t>11.1%</w:t>
            </w:r>
          </w:p>
        </w:tc>
      </w:tr>
      <w:tr w:rsidR="00D042F0" w:rsidRPr="00D042F0" w14:paraId="5D53978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F78264" w14:textId="77777777" w:rsidR="00D042F0" w:rsidRPr="00D042F0" w:rsidRDefault="00D042F0" w:rsidP="00D042F0">
            <w:r w:rsidRPr="00D042F0">
              <w:t>Phase 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52401F" w14:textId="77777777" w:rsidR="00D042F0" w:rsidRPr="00D042F0" w:rsidRDefault="00D042F0" w:rsidP="00D042F0">
            <w:r w:rsidRPr="00D042F0">
              <w:t>32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072C099" w14:textId="77777777" w:rsidR="00D042F0" w:rsidRPr="00D042F0" w:rsidRDefault="00D042F0" w:rsidP="00D042F0">
            <w:r w:rsidRPr="00D042F0">
              <w:t>14.7%</w:t>
            </w:r>
          </w:p>
        </w:tc>
      </w:tr>
      <w:tr w:rsidR="00D042F0" w:rsidRPr="00D042F0" w14:paraId="4197323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E91019" w14:textId="77777777" w:rsidR="00D042F0" w:rsidRPr="00D042F0" w:rsidRDefault="00D042F0" w:rsidP="00D042F0">
            <w:r w:rsidRPr="00D042F0">
              <w:t>Phase 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1B8B2B" w14:textId="77777777" w:rsidR="00D042F0" w:rsidRPr="00D042F0" w:rsidRDefault="00D042F0" w:rsidP="00D042F0">
            <w:r w:rsidRPr="00D042F0">
              <w:t>15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DB69C4E" w14:textId="77777777" w:rsidR="00D042F0" w:rsidRPr="00D042F0" w:rsidRDefault="00D042F0" w:rsidP="00D042F0">
            <w:r w:rsidRPr="00D042F0">
              <w:t>6.9%</w:t>
            </w:r>
          </w:p>
        </w:tc>
      </w:tr>
      <w:tr w:rsidR="00D042F0" w:rsidRPr="00D042F0" w14:paraId="38670DF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6DD4DF" w14:textId="77777777" w:rsidR="00D042F0" w:rsidRPr="00D042F0" w:rsidRDefault="00D042F0" w:rsidP="00D042F0">
            <w:r w:rsidRPr="00D042F0">
              <w:t>BLA/NDA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8C6300" w14:textId="77777777" w:rsidR="00D042F0" w:rsidRPr="00D042F0" w:rsidRDefault="00D042F0" w:rsidP="00D042F0">
            <w:r w:rsidRPr="00D042F0">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4BED7BB" w14:textId="77777777" w:rsidR="00D042F0" w:rsidRPr="00D042F0" w:rsidRDefault="00D042F0" w:rsidP="00D042F0">
            <w:r w:rsidRPr="00D042F0">
              <w:t>1.8%</w:t>
            </w:r>
          </w:p>
        </w:tc>
      </w:tr>
      <w:tr w:rsidR="00D042F0" w:rsidRPr="00D042F0" w14:paraId="07E412D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48F2E7E" w14:textId="77777777" w:rsidR="00D042F0" w:rsidRPr="00D042F0" w:rsidRDefault="00D042F0" w:rsidP="00D042F0">
            <w:r w:rsidRPr="00D042F0">
              <w:rPr>
                <w:i/>
                <w:iCs/>
              </w:rPr>
              <w:lastRenderedPageBreak/>
              <w:t>Source: [</w:t>
            </w:r>
            <w:hyperlink r:id="rId46" w:tgtFrame="_blank" w:history="1">
              <w:r w:rsidRPr="00D042F0">
                <w:rPr>
                  <w:rStyle w:val="Hyperlink"/>
                  <w:i/>
                  <w:iCs/>
                </w:rPr>
                <w:t>1</w:t>
              </w:r>
            </w:hyperlink>
            <w:r w:rsidRPr="00D042F0">
              <w:rPr>
                <w:i/>
                <w:iCs/>
              </w:rPr>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3F78458" w14:textId="77777777" w:rsidR="00D042F0" w:rsidRPr="00D042F0" w:rsidRDefault="00D042F0" w:rsidP="00D042F0"/>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9D0561" w14:textId="77777777" w:rsidR="00D042F0" w:rsidRPr="00D042F0" w:rsidRDefault="00D042F0" w:rsidP="00D042F0"/>
        </w:tc>
      </w:tr>
    </w:tbl>
    <w:p w14:paraId="53B26E5B" w14:textId="77777777" w:rsidR="00D042F0" w:rsidRPr="00D042F0" w:rsidRDefault="00D042F0" w:rsidP="00D042F0">
      <w:pPr>
        <w:rPr>
          <w:b/>
          <w:bCs/>
        </w:rPr>
      </w:pPr>
      <w:r w:rsidRPr="00D042F0">
        <w:rPr>
          <w:b/>
          <w:bCs/>
        </w:rPr>
        <w:t>4.2. Drug Modalities and Mechanisms of Action</w:t>
      </w:r>
    </w:p>
    <w:p w14:paraId="7F408D1E" w14:textId="77777777" w:rsidR="00D042F0" w:rsidRPr="00D042F0" w:rsidRDefault="00D042F0" w:rsidP="00D042F0">
      <w:r w:rsidRPr="00D042F0">
        <w:t>While monoclonal antibodies remain the dominant modality, the pipeline shows diversification into more complex and targeted approaches.</w:t>
      </w:r>
    </w:p>
    <w:p w14:paraId="6A72C5F6" w14:textId="77777777" w:rsidR="00D042F0" w:rsidRPr="00D042F0" w:rsidRDefault="00D042F0" w:rsidP="00D042F0">
      <w:r w:rsidRPr="00D042F0">
        <w:rPr>
          <w:b/>
          <w:bCs/>
        </w:rPr>
        <w:t>Table 5: Distribution of Drug Modalities in the Pipeline</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40"/>
        <w:gridCol w:w="1895"/>
        <w:gridCol w:w="4340"/>
      </w:tblGrid>
      <w:tr w:rsidR="00D042F0" w:rsidRPr="00D042F0" w14:paraId="7A8AB52F"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0215731" w14:textId="77777777" w:rsidR="00D042F0" w:rsidRPr="00D042F0" w:rsidRDefault="00D042F0" w:rsidP="00D042F0">
            <w:r w:rsidRPr="00D042F0">
              <w:t>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A1AD110" w14:textId="77777777" w:rsidR="00D042F0" w:rsidRPr="00D042F0" w:rsidRDefault="00D042F0" w:rsidP="00D042F0">
            <w:r w:rsidRPr="00D042F0">
              <w:t>Number of Programs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1D3199E" w14:textId="77777777" w:rsidR="00D042F0" w:rsidRPr="00D042F0" w:rsidRDefault="00D042F0" w:rsidP="00D042F0">
            <w:r w:rsidRPr="00D042F0">
              <w:t>Key Examples in Development</w:t>
            </w:r>
          </w:p>
        </w:tc>
      </w:tr>
      <w:tr w:rsidR="00D042F0" w:rsidRPr="00D042F0" w14:paraId="5BF8F74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655D6C4" w14:textId="77777777" w:rsidR="00D042F0" w:rsidRPr="00D042F0" w:rsidRDefault="00D042F0" w:rsidP="00D042F0">
            <w:r w:rsidRPr="00D042F0">
              <w:rPr>
                <w:b/>
                <w:bCs/>
              </w:rPr>
              <w:t>Monoclonal Antibodies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61CFF70" w14:textId="77777777" w:rsidR="00D042F0" w:rsidRPr="00D042F0" w:rsidRDefault="00D042F0" w:rsidP="00D042F0">
            <w:r w:rsidRPr="00D042F0">
              <w:t>180+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180242E" w14:textId="77777777" w:rsidR="00D042F0" w:rsidRPr="00D042F0" w:rsidRDefault="00D042F0" w:rsidP="00D042F0">
            <w:proofErr w:type="spellStart"/>
            <w:r w:rsidRPr="00D042F0">
              <w:t>Budigalimab</w:t>
            </w:r>
            <w:proofErr w:type="spellEnd"/>
            <w:r w:rsidRPr="00D042F0">
              <w:t xml:space="preserve"> (AbbVie), </w:t>
            </w:r>
            <w:proofErr w:type="spellStart"/>
            <w:r w:rsidRPr="00D042F0">
              <w:t>Spartalizumab</w:t>
            </w:r>
            <w:proofErr w:type="spellEnd"/>
            <w:r w:rsidRPr="00D042F0">
              <w:t xml:space="preserve"> (Novartis)</w:t>
            </w:r>
          </w:p>
        </w:tc>
      </w:tr>
      <w:tr w:rsidR="00D042F0" w:rsidRPr="00D042F0" w14:paraId="567779D2"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932BD99" w14:textId="77777777" w:rsidR="00D042F0" w:rsidRPr="00D042F0" w:rsidRDefault="00D042F0" w:rsidP="00D042F0">
            <w:r w:rsidRPr="00D042F0">
              <w:rPr>
                <w:b/>
                <w:bCs/>
              </w:rPr>
              <w:t>Cancer Vaccines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AA084E1" w14:textId="77777777" w:rsidR="00D042F0" w:rsidRPr="00D042F0" w:rsidRDefault="00D042F0" w:rsidP="00D042F0">
            <w:r w:rsidRPr="00D042F0">
              <w:t>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166D99" w14:textId="77777777" w:rsidR="00D042F0" w:rsidRPr="00D042F0" w:rsidRDefault="00D042F0" w:rsidP="00D042F0">
            <w:proofErr w:type="spellStart"/>
            <w:r w:rsidRPr="00D042F0">
              <w:t>Tertomotide</w:t>
            </w:r>
            <w:proofErr w:type="spellEnd"/>
            <w:r w:rsidRPr="00D042F0">
              <w:t xml:space="preserve"> (Phase III), VX-001, ETBX-011</w:t>
            </w:r>
          </w:p>
        </w:tc>
      </w:tr>
      <w:tr w:rsidR="00D042F0" w:rsidRPr="00D042F0" w14:paraId="70AB4D7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0895537" w14:textId="77777777" w:rsidR="00D042F0" w:rsidRPr="00D042F0" w:rsidRDefault="00D042F0" w:rsidP="00D042F0">
            <w:r w:rsidRPr="00D042F0">
              <w:rPr>
                <w:b/>
                <w:bCs/>
              </w:rPr>
              <w:t>Bi-specific Antibodies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96F658" w14:textId="77777777" w:rsidR="00D042F0" w:rsidRPr="00D042F0" w:rsidRDefault="00D042F0" w:rsidP="00D042F0">
            <w:r w:rsidRPr="00D042F0">
              <w:t>18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75863B" w14:textId="77777777" w:rsidR="00D042F0" w:rsidRPr="00D042F0" w:rsidRDefault="00D042F0" w:rsidP="00D042F0">
            <w:proofErr w:type="spellStart"/>
            <w:r w:rsidRPr="00D042F0">
              <w:t>Ivonescimab</w:t>
            </w:r>
            <w:proofErr w:type="spellEnd"/>
            <w:r w:rsidRPr="00D042F0">
              <w:t xml:space="preserve"> (PD-1/VEGF), PM-8002 (PD-L1/VEGF)</w:t>
            </w:r>
          </w:p>
        </w:tc>
      </w:tr>
      <w:tr w:rsidR="00D042F0" w:rsidRPr="00D042F0" w14:paraId="01CCE6E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6C6B0E1" w14:textId="77777777" w:rsidR="00D042F0" w:rsidRPr="00D042F0" w:rsidRDefault="00D042F0" w:rsidP="00D042F0">
            <w:r w:rsidRPr="00D042F0">
              <w:rPr>
                <w:b/>
                <w:bCs/>
              </w:rPr>
              <w:t>Cell-based Therapies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F7C96DB" w14:textId="77777777" w:rsidR="00D042F0" w:rsidRPr="00D042F0" w:rsidRDefault="00D042F0" w:rsidP="00D042F0">
            <w:r w:rsidRPr="00D042F0">
              <w:t>12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B437C9" w14:textId="77777777" w:rsidR="00D042F0" w:rsidRPr="00D042F0" w:rsidRDefault="00D042F0" w:rsidP="00D042F0">
            <w:r w:rsidRPr="00D042F0">
              <w:t>CYT-103, NY-303, H-Vax</w:t>
            </w:r>
          </w:p>
        </w:tc>
      </w:tr>
      <w:tr w:rsidR="00D042F0" w:rsidRPr="00D042F0" w14:paraId="2105D6C5"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CC2C6F8" w14:textId="77777777" w:rsidR="00D042F0" w:rsidRPr="00D042F0" w:rsidRDefault="00D042F0" w:rsidP="00D042F0">
            <w:r w:rsidRPr="00D042F0">
              <w:rPr>
                <w:b/>
                <w:bCs/>
              </w:rPr>
              <w:t>Antibody-Drug Conjugates (ADCs)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757E187" w14:textId="77777777" w:rsidR="00D042F0" w:rsidRPr="00D042F0" w:rsidRDefault="00D042F0" w:rsidP="00D042F0">
            <w:r w:rsidRPr="00D042F0">
              <w:t>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173C2D3" w14:textId="77777777" w:rsidR="00D042F0" w:rsidRPr="00D042F0" w:rsidRDefault="00D042F0" w:rsidP="00D042F0">
            <w:proofErr w:type="spellStart"/>
            <w:r w:rsidRPr="00D042F0">
              <w:t>Enfortumab</w:t>
            </w:r>
            <w:proofErr w:type="spellEnd"/>
            <w:r w:rsidRPr="00D042F0">
              <w:t xml:space="preserve"> </w:t>
            </w:r>
            <w:proofErr w:type="spellStart"/>
            <w:r w:rsidRPr="00D042F0">
              <w:t>vedotin</w:t>
            </w:r>
            <w:proofErr w:type="spellEnd"/>
            <w:r w:rsidRPr="00D042F0">
              <w:t xml:space="preserve">, Sacituzumab </w:t>
            </w:r>
            <w:proofErr w:type="spellStart"/>
            <w:r w:rsidRPr="00D042F0">
              <w:t>govitecan</w:t>
            </w:r>
            <w:proofErr w:type="spellEnd"/>
          </w:p>
        </w:tc>
      </w:tr>
      <w:tr w:rsidR="00D042F0" w:rsidRPr="00D042F0" w14:paraId="450B92E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0D0D4B" w14:textId="77777777" w:rsidR="00D042F0" w:rsidRPr="00D042F0" w:rsidRDefault="00D042F0" w:rsidP="00D042F0">
            <w:r w:rsidRPr="00D042F0">
              <w:rPr>
                <w:i/>
                <w:iCs/>
              </w:rPr>
              <w:t>Source: [</w:t>
            </w:r>
            <w:hyperlink r:id="rId47" w:tgtFrame="_blank" w:history="1">
              <w:r w:rsidRPr="00D042F0">
                <w:rPr>
                  <w:rStyle w:val="Hyperlink"/>
                  <w:i/>
                  <w:iCs/>
                </w:rPr>
                <w:t>1</w:t>
              </w:r>
            </w:hyperlink>
            <w:r w:rsidRPr="00D042F0">
              <w:rPr>
                <w:i/>
                <w:iCs/>
              </w:rPr>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C3EC43" w14:textId="77777777" w:rsidR="00D042F0" w:rsidRPr="00D042F0" w:rsidRDefault="00D042F0" w:rsidP="00D042F0"/>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4B7D1D" w14:textId="77777777" w:rsidR="00D042F0" w:rsidRPr="00D042F0" w:rsidRDefault="00D042F0" w:rsidP="00D042F0"/>
        </w:tc>
      </w:tr>
    </w:tbl>
    <w:p w14:paraId="680FB229" w14:textId="77777777" w:rsidR="00D042F0" w:rsidRPr="00D042F0" w:rsidRDefault="00D042F0" w:rsidP="00D042F0">
      <w:pPr>
        <w:rPr>
          <w:b/>
          <w:bCs/>
        </w:rPr>
      </w:pPr>
      <w:r w:rsidRPr="00D042F0">
        <w:rPr>
          <w:b/>
          <w:bCs/>
        </w:rPr>
        <w:t>4.3. Key Molecular Targets: Beyond PD-1/PD-L1</w:t>
      </w:r>
    </w:p>
    <w:p w14:paraId="3D32AD9B" w14:textId="77777777" w:rsidR="00D042F0" w:rsidRPr="00D042F0" w:rsidRDefault="00D042F0" w:rsidP="00D042F0">
      <w:r w:rsidRPr="00D042F0">
        <w:t>While PD-1, PD-L1, and VEGF remain the most targeted pathways in clinical development, the preclinical and early-phase pipeline is exploring novel targets to overcome resistance and improve specificity [</w:t>
      </w:r>
      <w:hyperlink r:id="rId48" w:tgtFrame="_blank" w:history="1">
        <w:r w:rsidRPr="00D042F0">
          <w:rPr>
            <w:rStyle w:val="Hyperlink"/>
          </w:rPr>
          <w:t>1</w:t>
        </w:r>
      </w:hyperlink>
      <w:r w:rsidRPr="00D042F0">
        <w:t>].</w:t>
      </w:r>
    </w:p>
    <w:p w14:paraId="5C3ADD90" w14:textId="77777777" w:rsidR="00D042F0" w:rsidRPr="00D042F0" w:rsidRDefault="00D042F0" w:rsidP="00D042F0">
      <w:pPr>
        <w:numPr>
          <w:ilvl w:val="0"/>
          <w:numId w:val="3"/>
        </w:numPr>
      </w:pPr>
      <w:r w:rsidRPr="00D042F0">
        <w:rPr>
          <w:b/>
          <w:bCs/>
        </w:rPr>
        <w:t>Glypican-3 (GPC3):</w:t>
      </w:r>
      <w:r w:rsidRPr="00D042F0">
        <w:t> A cell-surface protein highly expressed in HCC but not in healthy liver tissue, making it an ideal target for CAR-T cells, bi-specifics, and ADCs. There are at least 5 programs targeting GPC3, primarily in preclinical and Phase I/II stages [</w:t>
      </w:r>
      <w:hyperlink r:id="rId49" w:tgtFrame="_blank" w:history="1">
        <w:r w:rsidRPr="00D042F0">
          <w:rPr>
            <w:rStyle w:val="Hyperlink"/>
          </w:rPr>
          <w:t>1</w:t>
        </w:r>
      </w:hyperlink>
      <w:r w:rsidRPr="00D042F0">
        <w:t>].</w:t>
      </w:r>
    </w:p>
    <w:p w14:paraId="5952B760" w14:textId="77777777" w:rsidR="00D042F0" w:rsidRPr="00D042F0" w:rsidRDefault="00D042F0" w:rsidP="00D042F0">
      <w:pPr>
        <w:numPr>
          <w:ilvl w:val="0"/>
          <w:numId w:val="3"/>
        </w:numPr>
      </w:pPr>
      <w:r w:rsidRPr="00D042F0">
        <w:rPr>
          <w:b/>
          <w:bCs/>
        </w:rPr>
        <w:t>Telomerase Reverse Transcriptase (TERT):</w:t>
      </w:r>
      <w:r w:rsidRPr="00D042F0">
        <w:t> A critical enzyme for cancer cell immortality, TERT is the target of several cancer vaccines. </w:t>
      </w:r>
      <w:proofErr w:type="spellStart"/>
      <w:r w:rsidRPr="00D042F0">
        <w:rPr>
          <w:b/>
          <w:bCs/>
        </w:rPr>
        <w:t>Tertomotide</w:t>
      </w:r>
      <w:proofErr w:type="spellEnd"/>
      <w:r w:rsidRPr="00D042F0">
        <w:t> is a notable example, having reached Phase III development [</w:t>
      </w:r>
      <w:hyperlink r:id="rId50" w:tgtFrame="_blank" w:history="1">
        <w:r w:rsidRPr="00D042F0">
          <w:rPr>
            <w:rStyle w:val="Hyperlink"/>
          </w:rPr>
          <w:t>1</w:t>
        </w:r>
      </w:hyperlink>
      <w:r w:rsidRPr="00D042F0">
        <w:t>].</w:t>
      </w:r>
    </w:p>
    <w:p w14:paraId="5551C473" w14:textId="77777777" w:rsidR="00D042F0" w:rsidRPr="00D042F0" w:rsidRDefault="00D042F0" w:rsidP="00D042F0">
      <w:pPr>
        <w:numPr>
          <w:ilvl w:val="0"/>
          <w:numId w:val="3"/>
        </w:numPr>
      </w:pPr>
      <w:r w:rsidRPr="00D042F0">
        <w:rPr>
          <w:b/>
          <w:bCs/>
        </w:rPr>
        <w:lastRenderedPageBreak/>
        <w:t>Other Emerging Targets:</w:t>
      </w:r>
      <w:r w:rsidRPr="00D042F0">
        <w:t> The pipeline includes programs targeting LAG-3, TIM-3, TIGIT, and other immune checkpoints, often in combination with PD-1/L1 inhibitors to enhance anti-tumor immunity [</w:t>
      </w:r>
      <w:hyperlink r:id="rId51" w:tgtFrame="_blank" w:history="1">
        <w:r w:rsidRPr="00D042F0">
          <w:rPr>
            <w:rStyle w:val="Hyperlink"/>
          </w:rPr>
          <w:t>1</w:t>
        </w:r>
      </w:hyperlink>
      <w:r w:rsidRPr="00D042F0">
        <w:t>].</w:t>
      </w:r>
    </w:p>
    <w:p w14:paraId="3CEA632B" w14:textId="77777777" w:rsidR="00D042F0" w:rsidRPr="00D042F0" w:rsidRDefault="00D042F0" w:rsidP="00D042F0">
      <w:pPr>
        <w:rPr>
          <w:b/>
          <w:bCs/>
        </w:rPr>
      </w:pPr>
      <w:r w:rsidRPr="00D042F0">
        <w:rPr>
          <w:b/>
          <w:bCs/>
        </w:rPr>
        <w:t>4.4. Emerging Therapies with High Potential (2025-2030 Outlook)</w:t>
      </w:r>
    </w:p>
    <w:p w14:paraId="06EB37F9" w14:textId="77777777" w:rsidR="00D042F0" w:rsidRPr="00D042F0" w:rsidRDefault="00D042F0" w:rsidP="00D042F0">
      <w:pPr>
        <w:numPr>
          <w:ilvl w:val="0"/>
          <w:numId w:val="4"/>
        </w:numPr>
      </w:pPr>
      <w:r w:rsidRPr="00D042F0">
        <w:rPr>
          <w:b/>
          <w:bCs/>
        </w:rPr>
        <w:t>Bi-specific Antibodies:</w:t>
      </w:r>
      <w:r w:rsidRPr="00D042F0">
        <w:t> Agents like </w:t>
      </w:r>
      <w:proofErr w:type="spellStart"/>
      <w:r w:rsidRPr="00D042F0">
        <w:rPr>
          <w:b/>
          <w:bCs/>
        </w:rPr>
        <w:t>ivonescimab</w:t>
      </w:r>
      <w:proofErr w:type="spellEnd"/>
      <w:r w:rsidRPr="00D042F0">
        <w:t> (PD-1/VEGF) and </w:t>
      </w:r>
      <w:r w:rsidRPr="00D042F0">
        <w:rPr>
          <w:b/>
          <w:bCs/>
        </w:rPr>
        <w:t>PM-8002</w:t>
      </w:r>
      <w:r w:rsidRPr="00D042F0">
        <w:t> (PD-L1/VEGF) offer the potential to block two critical pathways with a single molecule, potentially improving efficacy and convenience. These are advancing through clinical trials [</w:t>
      </w:r>
      <w:hyperlink r:id="rId52" w:tgtFrame="_blank" w:history="1">
        <w:r w:rsidRPr="00D042F0">
          <w:rPr>
            <w:rStyle w:val="Hyperlink"/>
          </w:rPr>
          <w:t>1</w:t>
        </w:r>
      </w:hyperlink>
      <w:r w:rsidRPr="00D042F0">
        <w:t>].</w:t>
      </w:r>
    </w:p>
    <w:p w14:paraId="08CF0CA6" w14:textId="77777777" w:rsidR="00D042F0" w:rsidRPr="00D042F0" w:rsidRDefault="00D042F0" w:rsidP="00D042F0">
      <w:pPr>
        <w:numPr>
          <w:ilvl w:val="0"/>
          <w:numId w:val="4"/>
        </w:numPr>
      </w:pPr>
      <w:r w:rsidRPr="00D042F0">
        <w:rPr>
          <w:b/>
          <w:bCs/>
        </w:rPr>
        <w:t>Novel ICI/TKI Combinations:</w:t>
      </w:r>
      <w:r w:rsidRPr="00D042F0">
        <w:t xml:space="preserve"> Building on the success of combinations like </w:t>
      </w:r>
      <w:proofErr w:type="spellStart"/>
      <w:r w:rsidRPr="00D042F0">
        <w:t>camrelizumab</w:t>
      </w:r>
      <w:proofErr w:type="spellEnd"/>
      <w:r w:rsidRPr="00D042F0">
        <w:t>/</w:t>
      </w:r>
      <w:proofErr w:type="spellStart"/>
      <w:r w:rsidRPr="00D042F0">
        <w:t>rivoceranib</w:t>
      </w:r>
      <w:proofErr w:type="spellEnd"/>
      <w:r w:rsidRPr="00D042F0">
        <w:t>, early-phase data for combinations like </w:t>
      </w:r>
      <w:proofErr w:type="spellStart"/>
      <w:r w:rsidRPr="00D042F0">
        <w:rPr>
          <w:b/>
          <w:bCs/>
        </w:rPr>
        <w:t>anlotinib</w:t>
      </w:r>
      <w:proofErr w:type="spellEnd"/>
      <w:r w:rsidRPr="00D042F0">
        <w:rPr>
          <w:b/>
          <w:bCs/>
        </w:rPr>
        <w:t xml:space="preserve"> + </w:t>
      </w:r>
      <w:proofErr w:type="spellStart"/>
      <w:r w:rsidRPr="00D042F0">
        <w:rPr>
          <w:b/>
          <w:bCs/>
        </w:rPr>
        <w:t>penpulimab</w:t>
      </w:r>
      <w:proofErr w:type="spellEnd"/>
      <w:r w:rsidRPr="00D042F0">
        <w:t> (</w:t>
      </w:r>
      <w:proofErr w:type="spellStart"/>
      <w:r w:rsidRPr="00D042F0">
        <w:t>mOS</w:t>
      </w:r>
      <w:proofErr w:type="spellEnd"/>
      <w:r w:rsidRPr="00D042F0">
        <w:t xml:space="preserve"> 16.5 months) and </w:t>
      </w:r>
      <w:r w:rsidRPr="00D042F0">
        <w:rPr>
          <w:b/>
          <w:bCs/>
        </w:rPr>
        <w:t>SCT-I10A + SCT510</w:t>
      </w:r>
      <w:r w:rsidRPr="00D042F0">
        <w:t> (</w:t>
      </w:r>
      <w:proofErr w:type="spellStart"/>
      <w:r w:rsidRPr="00D042F0">
        <w:t>mOS</w:t>
      </w:r>
      <w:proofErr w:type="spellEnd"/>
      <w:r w:rsidRPr="00D042F0">
        <w:t xml:space="preserve"> 22.1 months) show promise [</w:t>
      </w:r>
      <w:hyperlink r:id="rId53" w:tgtFrame="_blank" w:history="1">
        <w:r w:rsidRPr="00D042F0">
          <w:rPr>
            <w:rStyle w:val="Hyperlink"/>
          </w:rPr>
          <w:t>2</w:t>
        </w:r>
      </w:hyperlink>
      <w:r w:rsidRPr="00D042F0">
        <w:t>].</w:t>
      </w:r>
    </w:p>
    <w:p w14:paraId="0A24F0D5" w14:textId="77777777" w:rsidR="00D042F0" w:rsidRPr="00D042F0" w:rsidRDefault="00D042F0" w:rsidP="00D042F0">
      <w:pPr>
        <w:numPr>
          <w:ilvl w:val="0"/>
          <w:numId w:val="4"/>
        </w:numPr>
      </w:pPr>
      <w:r w:rsidRPr="00D042F0">
        <w:rPr>
          <w:b/>
          <w:bCs/>
        </w:rPr>
        <w:t>Cell Therapies:</w:t>
      </w:r>
      <w:r w:rsidRPr="00D042F0">
        <w:t> While still 3-5 years from potential registration, GPC3-targeted CAR-T and other cell-based therapies represent a potential curative approach for a subset of patients. Overcoming challenges related to T-cell trafficking and the immunosuppressive tumor microenvironment in solid tumors is a key focus [</w:t>
      </w:r>
      <w:hyperlink r:id="rId54" w:tgtFrame="_blank" w:history="1">
        <w:r w:rsidRPr="00D042F0">
          <w:rPr>
            <w:rStyle w:val="Hyperlink"/>
          </w:rPr>
          <w:t>1</w:t>
        </w:r>
      </w:hyperlink>
      <w:r w:rsidRPr="00D042F0">
        <w:t>][</w:t>
      </w:r>
      <w:hyperlink r:id="rId55" w:tgtFrame="_blank" w:history="1">
        <w:r w:rsidRPr="00D042F0">
          <w:rPr>
            <w:rStyle w:val="Hyperlink"/>
          </w:rPr>
          <w:t>7</w:t>
        </w:r>
      </w:hyperlink>
      <w:r w:rsidRPr="00D042F0">
        <w:t>].</w:t>
      </w:r>
    </w:p>
    <w:p w14:paraId="4637DB84" w14:textId="77777777" w:rsidR="00D042F0" w:rsidRPr="00D042F0" w:rsidRDefault="00D042F0" w:rsidP="00D042F0">
      <w:pPr>
        <w:rPr>
          <w:b/>
          <w:bCs/>
        </w:rPr>
      </w:pPr>
      <w:r w:rsidRPr="00D042F0">
        <w:rPr>
          <w:b/>
          <w:bCs/>
        </w:rPr>
        <w:t>5. Key Challenges and Future Directions</w:t>
      </w:r>
    </w:p>
    <w:p w14:paraId="67ED435F" w14:textId="77777777" w:rsidR="00D042F0" w:rsidRPr="00D042F0" w:rsidRDefault="00D042F0" w:rsidP="00D042F0">
      <w:r w:rsidRPr="00D042F0">
        <w:t>Despite significant progress, major challenges remain in the field of liver cancer immunotherapy.</w:t>
      </w:r>
    </w:p>
    <w:p w14:paraId="143E8D59" w14:textId="77777777" w:rsidR="00D042F0" w:rsidRPr="00D042F0" w:rsidRDefault="00D042F0" w:rsidP="00D042F0">
      <w:pPr>
        <w:numPr>
          <w:ilvl w:val="0"/>
          <w:numId w:val="5"/>
        </w:numPr>
      </w:pPr>
      <w:r w:rsidRPr="00D042F0">
        <w:rPr>
          <w:b/>
          <w:bCs/>
        </w:rPr>
        <w:t>Primary and Acquired Resistance:</w:t>
      </w:r>
      <w:r w:rsidRPr="00D042F0">
        <w:t> A substantial portion of patients do not respond to initial immunotherapy (primary resistance) or develop resistance after an initial response. Future research must focus on understanding these mechanisms to develop effective subsequent-line therapies.</w:t>
      </w:r>
    </w:p>
    <w:p w14:paraId="3EC15025" w14:textId="77777777" w:rsidR="00D042F0" w:rsidRPr="00D042F0" w:rsidRDefault="00D042F0" w:rsidP="00D042F0">
      <w:pPr>
        <w:numPr>
          <w:ilvl w:val="0"/>
          <w:numId w:val="5"/>
        </w:numPr>
      </w:pPr>
      <w:r w:rsidRPr="00D042F0">
        <w:rPr>
          <w:b/>
          <w:bCs/>
        </w:rPr>
        <w:t>Lack of Predictive Biomarkers:</w:t>
      </w:r>
      <w:r w:rsidRPr="00D042F0">
        <w:t> </w:t>
      </w:r>
      <w:proofErr w:type="gramStart"/>
      <w:r w:rsidRPr="00D042F0">
        <w:t>Unlike in</w:t>
      </w:r>
      <w:proofErr w:type="gramEnd"/>
      <w:r w:rsidRPr="00D042F0">
        <w:t xml:space="preserve"> other cancers, PD-L1 expression has not been a reliable predictive biomarker for response in HCC. Identifying robust biomarkers is critical for patient selection and personalizing treatment to maximize benefit and minimize toxicity.</w:t>
      </w:r>
    </w:p>
    <w:p w14:paraId="192C79DB" w14:textId="77777777" w:rsidR="00D042F0" w:rsidRPr="00D042F0" w:rsidRDefault="00D042F0" w:rsidP="00D042F0">
      <w:pPr>
        <w:numPr>
          <w:ilvl w:val="0"/>
          <w:numId w:val="5"/>
        </w:numPr>
      </w:pPr>
      <w:r w:rsidRPr="00D042F0">
        <w:rPr>
          <w:b/>
          <w:bCs/>
        </w:rPr>
        <w:t>Management of Immune-Related and Combination Toxicity:</w:t>
      </w:r>
      <w:r w:rsidRPr="00D042F0">
        <w:t xml:space="preserve"> Combination therapies, particularly ICI/TKI regimens like </w:t>
      </w:r>
      <w:proofErr w:type="spellStart"/>
      <w:r w:rsidRPr="00D042F0">
        <w:t>camrelizumab</w:t>
      </w:r>
      <w:proofErr w:type="spellEnd"/>
      <w:r w:rsidRPr="00D042F0">
        <w:t>/</w:t>
      </w:r>
      <w:proofErr w:type="spellStart"/>
      <w:r w:rsidRPr="00D042F0">
        <w:t>rivoceranib</w:t>
      </w:r>
      <w:proofErr w:type="spellEnd"/>
      <w:r w:rsidRPr="00D042F0">
        <w:t xml:space="preserve"> (80.9% Grade 3+ TRAEs), carry a significant toxicity burden. Optimizing dosing and developing better strategies to manage adverse events are crucial for patient quality of life [</w:t>
      </w:r>
      <w:hyperlink r:id="rId56" w:tgtFrame="_blank" w:history="1">
        <w:r w:rsidRPr="00D042F0">
          <w:rPr>
            <w:rStyle w:val="Hyperlink"/>
          </w:rPr>
          <w:t>2</w:t>
        </w:r>
      </w:hyperlink>
      <w:r w:rsidRPr="00D042F0">
        <w:t>].</w:t>
      </w:r>
    </w:p>
    <w:p w14:paraId="5A4B74F0" w14:textId="77777777" w:rsidR="00D042F0" w:rsidRPr="00D042F0" w:rsidRDefault="00D042F0" w:rsidP="00D042F0">
      <w:pPr>
        <w:numPr>
          <w:ilvl w:val="0"/>
          <w:numId w:val="5"/>
        </w:numPr>
      </w:pPr>
      <w:r w:rsidRPr="00D042F0">
        <w:rPr>
          <w:b/>
          <w:bCs/>
        </w:rPr>
        <w:t>High Bar for New Drug Approvals:</w:t>
      </w:r>
      <w:r w:rsidRPr="00D042F0">
        <w:t xml:space="preserve"> With multiple effective combinations now available, the bar for demonstrating clinical benefit for new agents is higher than </w:t>
      </w:r>
      <w:r w:rsidRPr="00D042F0">
        <w:lastRenderedPageBreak/>
        <w:t>ever. New therapies will need to show substantial improvements in efficacy, safety, or convenience to gain regulatory approval and market adoption.</w:t>
      </w:r>
    </w:p>
    <w:p w14:paraId="1BD205BD" w14:textId="77777777" w:rsidR="00D042F0" w:rsidRPr="00D042F0" w:rsidRDefault="00D042F0" w:rsidP="00D042F0">
      <w:r w:rsidRPr="00D042F0">
        <w:rPr>
          <w:b/>
          <w:bCs/>
        </w:rPr>
        <w:t>The five-year outlook (2025-2030)</w:t>
      </w:r>
      <w:r w:rsidRPr="00D042F0">
        <w:t> will likely see the field evolve in the following directions:</w:t>
      </w:r>
    </w:p>
    <w:p w14:paraId="6332E260" w14:textId="77777777" w:rsidR="00D042F0" w:rsidRPr="00D042F0" w:rsidRDefault="00D042F0" w:rsidP="00D042F0">
      <w:pPr>
        <w:numPr>
          <w:ilvl w:val="0"/>
          <w:numId w:val="6"/>
        </w:numPr>
      </w:pPr>
      <w:r w:rsidRPr="00D042F0">
        <w:rPr>
          <w:b/>
          <w:bCs/>
        </w:rPr>
        <w:t>Refinement of Combination Strategies:</w:t>
      </w:r>
      <w:r w:rsidRPr="00D042F0">
        <w:t> Head-to-head trials may clarify the optimal first-line combination for different patient subgroups.</w:t>
      </w:r>
    </w:p>
    <w:p w14:paraId="322357FD" w14:textId="77777777" w:rsidR="00D042F0" w:rsidRPr="00D042F0" w:rsidRDefault="00D042F0" w:rsidP="00D042F0">
      <w:pPr>
        <w:numPr>
          <w:ilvl w:val="0"/>
          <w:numId w:val="6"/>
        </w:numPr>
      </w:pPr>
      <w:r w:rsidRPr="00D042F0">
        <w:rPr>
          <w:b/>
          <w:bCs/>
        </w:rPr>
        <w:t>Biomarker-Driven Therapy:</w:t>
      </w:r>
      <w:r w:rsidRPr="00D042F0">
        <w:t> The discovery and validation of predictive biomarkers will enable a move towards more personalized treatment approaches.</w:t>
      </w:r>
    </w:p>
    <w:p w14:paraId="10F359F5" w14:textId="77777777" w:rsidR="00D042F0" w:rsidRPr="00D042F0" w:rsidRDefault="00D042F0" w:rsidP="00D042F0">
      <w:pPr>
        <w:numPr>
          <w:ilvl w:val="0"/>
          <w:numId w:val="6"/>
        </w:numPr>
      </w:pPr>
      <w:r w:rsidRPr="00D042F0">
        <w:rPr>
          <w:b/>
          <w:bCs/>
        </w:rPr>
        <w:t>Movement into Earlier Disease Stages:</w:t>
      </w:r>
      <w:r w:rsidRPr="00D042F0">
        <w:t> Following the lead of trials like EMERALD-1 and IMbrave050, there will be a continued push to integrate immunotherapy into neoadjuvant, adjuvant, and intermediate-stage settings.</w:t>
      </w:r>
    </w:p>
    <w:p w14:paraId="62CEC5B2" w14:textId="77777777" w:rsidR="00D042F0" w:rsidRPr="00D042F0" w:rsidRDefault="00D042F0" w:rsidP="00D042F0">
      <w:pPr>
        <w:numPr>
          <w:ilvl w:val="0"/>
          <w:numId w:val="6"/>
        </w:numPr>
      </w:pPr>
      <w:r w:rsidRPr="00D042F0">
        <w:rPr>
          <w:b/>
          <w:bCs/>
        </w:rPr>
        <w:t>Introduction of Novel Modalities:</w:t>
      </w:r>
      <w:r w:rsidRPr="00D042F0">
        <w:t> The first bi-specific antibodies may gain approval, and late-stage data for cell therapies and cancer vaccines will begin to emerge, potentially offering new options for heavily pre-treated or refractory patients.</w:t>
      </w:r>
    </w:p>
    <w:p w14:paraId="3183389F" w14:textId="77777777" w:rsidR="00D042F0" w:rsidRPr="00D042F0" w:rsidRDefault="00D042F0" w:rsidP="00D042F0">
      <w:pPr>
        <w:rPr>
          <w:b/>
          <w:bCs/>
        </w:rPr>
      </w:pPr>
      <w:r w:rsidRPr="00D042F0">
        <w:rPr>
          <w:b/>
          <w:bCs/>
        </w:rPr>
        <w:t>6. Conclusion</w:t>
      </w:r>
    </w:p>
    <w:p w14:paraId="12200860" w14:textId="77777777" w:rsidR="00D042F0" w:rsidRPr="00D042F0" w:rsidRDefault="00D042F0" w:rsidP="00D042F0">
      <w:r w:rsidRPr="00D042F0">
        <w:t>As of 2025, the liver cancer immunotherapy landscape in the US and EU is characterized by the success of checkpoint inhibitor-based combinations, which have become the standard of care and are driving a rapidly expanding market. The clinical focus is on optimizing these combinations and managing their toxicities. The future, guided by a deep and diverse preclinical and early-phase pipeline, points towards novel targets, bi-specific antibodies, and cell therapies. Over the next five years, the challenge will be to translate this scientific innovation into tangible clinical benefits, overcome resistance, and usher in an era of personalized immunotherapy for patients with liver cancer.</w:t>
      </w:r>
    </w:p>
    <w:p w14:paraId="01F782F8"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44B8"/>
    <w:multiLevelType w:val="multilevel"/>
    <w:tmpl w:val="058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0430E"/>
    <w:multiLevelType w:val="multilevel"/>
    <w:tmpl w:val="7EB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BF51FC"/>
    <w:multiLevelType w:val="multilevel"/>
    <w:tmpl w:val="DAF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A7F82"/>
    <w:multiLevelType w:val="multilevel"/>
    <w:tmpl w:val="D16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E18DA"/>
    <w:multiLevelType w:val="multilevel"/>
    <w:tmpl w:val="3A8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00F77"/>
    <w:multiLevelType w:val="multilevel"/>
    <w:tmpl w:val="E5D0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892010">
    <w:abstractNumId w:val="2"/>
  </w:num>
  <w:num w:numId="2" w16cid:durableId="1313944093">
    <w:abstractNumId w:val="3"/>
  </w:num>
  <w:num w:numId="3" w16cid:durableId="976036414">
    <w:abstractNumId w:val="0"/>
  </w:num>
  <w:num w:numId="4" w16cid:durableId="796873954">
    <w:abstractNumId w:val="4"/>
  </w:num>
  <w:num w:numId="5" w16cid:durableId="1364013351">
    <w:abstractNumId w:val="1"/>
  </w:num>
  <w:num w:numId="6" w16cid:durableId="1514152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42F0"/>
    <w:rsid w:val="003A3B68"/>
    <w:rsid w:val="004B75D9"/>
    <w:rsid w:val="005319CD"/>
    <w:rsid w:val="0079600C"/>
    <w:rsid w:val="007A2032"/>
    <w:rsid w:val="009713E1"/>
    <w:rsid w:val="00C100B3"/>
    <w:rsid w:val="00D04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C6B1"/>
  <w15:chartTrackingRefBased/>
  <w15:docId w15:val="{62B01DD2-65F2-41AC-A9D2-BD4D1F30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2F0"/>
    <w:rPr>
      <w:rFonts w:eastAsiaTheme="majorEastAsia" w:cstheme="majorBidi"/>
      <w:color w:val="272727" w:themeColor="text1" w:themeTint="D8"/>
    </w:rPr>
  </w:style>
  <w:style w:type="paragraph" w:styleId="Title">
    <w:name w:val="Title"/>
    <w:basedOn w:val="Normal"/>
    <w:next w:val="Normal"/>
    <w:link w:val="TitleChar"/>
    <w:uiPriority w:val="10"/>
    <w:qFormat/>
    <w:rsid w:val="00D04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2F0"/>
    <w:pPr>
      <w:spacing w:before="160"/>
      <w:jc w:val="center"/>
    </w:pPr>
    <w:rPr>
      <w:i/>
      <w:iCs/>
      <w:color w:val="404040" w:themeColor="text1" w:themeTint="BF"/>
    </w:rPr>
  </w:style>
  <w:style w:type="character" w:customStyle="1" w:styleId="QuoteChar">
    <w:name w:val="Quote Char"/>
    <w:basedOn w:val="DefaultParagraphFont"/>
    <w:link w:val="Quote"/>
    <w:uiPriority w:val="29"/>
    <w:rsid w:val="00D042F0"/>
    <w:rPr>
      <w:i/>
      <w:iCs/>
      <w:color w:val="404040" w:themeColor="text1" w:themeTint="BF"/>
    </w:rPr>
  </w:style>
  <w:style w:type="paragraph" w:styleId="ListParagraph">
    <w:name w:val="List Paragraph"/>
    <w:basedOn w:val="Normal"/>
    <w:uiPriority w:val="34"/>
    <w:qFormat/>
    <w:rsid w:val="00D042F0"/>
    <w:pPr>
      <w:ind w:left="720"/>
      <w:contextualSpacing/>
    </w:pPr>
  </w:style>
  <w:style w:type="character" w:styleId="IntenseEmphasis">
    <w:name w:val="Intense Emphasis"/>
    <w:basedOn w:val="DefaultParagraphFont"/>
    <w:uiPriority w:val="21"/>
    <w:qFormat/>
    <w:rsid w:val="00D042F0"/>
    <w:rPr>
      <w:i/>
      <w:iCs/>
      <w:color w:val="0F4761" w:themeColor="accent1" w:themeShade="BF"/>
    </w:rPr>
  </w:style>
  <w:style w:type="paragraph" w:styleId="IntenseQuote">
    <w:name w:val="Intense Quote"/>
    <w:basedOn w:val="Normal"/>
    <w:next w:val="Normal"/>
    <w:link w:val="IntenseQuoteChar"/>
    <w:uiPriority w:val="30"/>
    <w:qFormat/>
    <w:rsid w:val="00D0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2F0"/>
    <w:rPr>
      <w:i/>
      <w:iCs/>
      <w:color w:val="0F4761" w:themeColor="accent1" w:themeShade="BF"/>
    </w:rPr>
  </w:style>
  <w:style w:type="character" w:styleId="IntenseReference">
    <w:name w:val="Intense Reference"/>
    <w:basedOn w:val="DefaultParagraphFont"/>
    <w:uiPriority w:val="32"/>
    <w:qFormat/>
    <w:rsid w:val="00D042F0"/>
    <w:rPr>
      <w:b/>
      <w:bCs/>
      <w:smallCaps/>
      <w:color w:val="0F4761" w:themeColor="accent1" w:themeShade="BF"/>
      <w:spacing w:val="5"/>
    </w:rPr>
  </w:style>
  <w:style w:type="character" w:styleId="Hyperlink">
    <w:name w:val="Hyperlink"/>
    <w:basedOn w:val="DefaultParagraphFont"/>
    <w:uiPriority w:val="99"/>
    <w:unhideWhenUsed/>
    <w:rsid w:val="00D042F0"/>
    <w:rPr>
      <w:color w:val="467886" w:themeColor="hyperlink"/>
      <w:u w:val="single"/>
    </w:rPr>
  </w:style>
  <w:style w:type="character" w:styleId="UnresolvedMention">
    <w:name w:val="Unresolved Mention"/>
    <w:basedOn w:val="DefaultParagraphFont"/>
    <w:uiPriority w:val="99"/>
    <w:semiHidden/>
    <w:unhideWhenUsed/>
    <w:rsid w:val="00D04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ccr.biomedcentral.com/articles/10.1186/s13046-021-01968-w" TargetMode="External"/><Relationship Id="rId18"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6"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9" Type="http://schemas.openxmlformats.org/officeDocument/2006/relationships/hyperlink" Target="https://www.grandviewresearch.com/horizon/outlook/liver-cancer-drug-market/united-states" TargetMode="External"/><Relationship Id="rId21"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4" Type="http://schemas.openxmlformats.org/officeDocument/2006/relationships/hyperlink" Target="https://www.sciencedirect.com/science/article/pii/S2352396424003025" TargetMode="External"/><Relationship Id="rId42"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47"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50"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55" Type="http://schemas.openxmlformats.org/officeDocument/2006/relationships/hyperlink" Target="https://www.nature.com/articles/s41392-025-02269-w" TargetMode="External"/><Relationship Id="rId7" Type="http://schemas.openxmlformats.org/officeDocument/2006/relationships/hyperlink" Target="https://jeccr.biomedcentral.com/articles/10.1186/s13046-021-01968-w" TargetMode="External"/><Relationship Id="rId2" Type="http://schemas.openxmlformats.org/officeDocument/2006/relationships/styles" Target="styles.xml"/><Relationship Id="rId16"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9" Type="http://schemas.openxmlformats.org/officeDocument/2006/relationships/hyperlink" Target="https://jeccr.biomedcentral.com/articles/10.1186/s13046-021-01968-w" TargetMode="External"/><Relationship Id="rId11" Type="http://schemas.openxmlformats.org/officeDocument/2006/relationships/hyperlink" Target="https://www.grandviewresearch.com/horizon/outlook/liver-cancer-drug-market/europe" TargetMode="External"/><Relationship Id="rId24"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2"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7" Type="http://schemas.openxmlformats.org/officeDocument/2006/relationships/hyperlink" Target="https://www.grandviewresearch.com/horizon/outlook/liver-cancer-drug-market/united-states" TargetMode="External"/><Relationship Id="rId40" Type="http://schemas.openxmlformats.org/officeDocument/2006/relationships/hyperlink" Target="https://www.grandviewresearch.com/horizon/outlook/liver-cancer-drug-market/united-states" TargetMode="External"/><Relationship Id="rId45"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53"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58" Type="http://schemas.openxmlformats.org/officeDocument/2006/relationships/theme" Target="theme/theme1.xml"/><Relationship Id="rId5"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19"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4" Type="http://schemas.openxmlformats.org/officeDocument/2006/relationships/webSettings" Target="webSettings.xml"/><Relationship Id="rId9"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14"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2"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7"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0" Type="http://schemas.openxmlformats.org/officeDocument/2006/relationships/hyperlink" Target="https://oncodaily.com/oncolibrary/nivolumab-and-ipilimumab-hcc-fda-2025" TargetMode="External"/><Relationship Id="rId35" Type="http://schemas.openxmlformats.org/officeDocument/2006/relationships/hyperlink" Target="https://www.grandviewresearch.com/horizon/outlook/liver-cancer-drug-market/united-states" TargetMode="External"/><Relationship Id="rId43" Type="http://schemas.openxmlformats.org/officeDocument/2006/relationships/hyperlink" Target="https://www.grandviewresearch.com/horizon/outlook/liver-cancer-drug-market/united-states" TargetMode="External"/><Relationship Id="rId48"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56"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8"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51"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3" Type="http://schemas.openxmlformats.org/officeDocument/2006/relationships/settings" Target="settings.xml"/><Relationship Id="rId12"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17"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5"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3" Type="http://schemas.openxmlformats.org/officeDocument/2006/relationships/hyperlink" Target="https://www.nature.com/articles/s41392-025-02269-w" TargetMode="External"/><Relationship Id="rId38" Type="http://schemas.openxmlformats.org/officeDocument/2006/relationships/hyperlink" Target="https://www.grandviewresearch.com/horizon/outlook/liver-cancer-drug-market/europe" TargetMode="External"/><Relationship Id="rId46"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20"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41" Type="http://schemas.openxmlformats.org/officeDocument/2006/relationships/hyperlink" Target="https://www.grandviewresearch.com/horizon/outlook/liver-cancer-drug-market/united-states" TargetMode="External"/><Relationship Id="rId54"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1" Type="http://schemas.openxmlformats.org/officeDocument/2006/relationships/numbering" Target="numbering.xml"/><Relationship Id="rId6"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15"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3"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28" Type="http://schemas.openxmlformats.org/officeDocument/2006/relationships/hyperlink" Target="https://www.noahai.co/tool/clinical-result/?search_param=%7B%22indication_name%22%3A%20%5B%22Hepatocellular%20carcinoma%22%2C%20%22Other%20%28Liver%20disease%29%22%5D%2C%20%22phase%22%3A%20%5B%22I%22%2C%20%22II%22%2C%20%22III%22%5D%2C%20%22drug_modality%22%3A%20%7B%22data%22%3A%20%5B%22Vaccine%22%2C%20%22Monoclonal%20Antibodies%22%2C%20%22Cell-based%20Therapies%22%5D%2C%20%22logic%22%3A%20%22or%22%7D%2C%20%22top_n%22%3A%20150%7D" TargetMode="External"/><Relationship Id="rId36" Type="http://schemas.openxmlformats.org/officeDocument/2006/relationships/hyperlink" Target="https://www.grandviewresearch.com/horizon/outlook/liver-cancer-drug-market/europe" TargetMode="External"/><Relationship Id="rId49"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 Id="rId57" Type="http://schemas.openxmlformats.org/officeDocument/2006/relationships/fontTable" Target="fontTable.xml"/><Relationship Id="rId10" Type="http://schemas.openxmlformats.org/officeDocument/2006/relationships/hyperlink" Target="https://www.grandviewresearch.com/horizon/outlook/liver-cancer-drug-market/united-states" TargetMode="External"/><Relationship Id="rId31" Type="http://schemas.openxmlformats.org/officeDocument/2006/relationships/hyperlink" Target="https://jeccr.biomedcentral.com/articles/10.1186/s13046-021-01968-w" TargetMode="External"/><Relationship Id="rId44" Type="http://schemas.openxmlformats.org/officeDocument/2006/relationships/hyperlink" Target="https://www.grandviewresearch.com/horizon/outlook/liver-cancer-drug-market/united-states" TargetMode="External"/><Relationship Id="rId52" Type="http://schemas.openxmlformats.org/officeDocument/2006/relationships/hyperlink" Target="https://www.noahai.co/tool/drug-compete/?search_param=%7B%22indication_name%22%3A%20%5B%22Hepatic%20cancer%22%2C%20%22Parenteral%20nutrition%20associated%20liver%20disease%22%2C%20%22Hepatocellular%20damage%20and%20hepatitis%20NEC%22%5D%2C%20%22phase%22%3A%20%5B%22Preclinical%22%2C%20%22IND%22%2C%20%22I%22%2C%20%22II%22%2C%20%22III%22%2C%20%22BLA%2FNDA%22%5D%2C%20%22drug_modality%22%3A%20%7B%22data%22%3A%20%5B%22Vaccine%22%2C%20%22Monoclonal%20Antibodies%22%2C%20%22Bi-specific%20Antibodies%22%2C%20%22Bi-specific%20Antibodies%22%5D%2C%20%22logic%22%3A%20%22or%22%7D%2C%20%22location%22%3A%20%5B%22USA%22%2C%20%22EU%22%2C%20%22Europe%22%2C%20%22Germany%22%2C%20%22France%22%2C%20%22Italy%22%2C%20%22Spain%22%2C%20%22UK%22%5D%2C%20%22top_n%22%3A%201000%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5141</Words>
  <Characters>31364</Characters>
  <Application>Microsoft Office Word</Application>
  <DocSecurity>0</DocSecurity>
  <Lines>1081</Lines>
  <Paragraphs>570</Paragraphs>
  <ScaleCrop>false</ScaleCrop>
  <Company/>
  <LinksUpToDate>false</LinksUpToDate>
  <CharactersWithSpaces>35935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1</cp:revision>
  <dcterms:created xsi:type="dcterms:W3CDTF">2025-10-02T13:14:00Z</dcterms:created>
  <dcterms:modified xsi:type="dcterms:W3CDTF">2025-10-02T13:15:00Z</dcterms:modified>
</cp:coreProperties>
</file>