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583B5" w14:textId="77777777" w:rsidR="00436766" w:rsidRPr="00436766" w:rsidRDefault="00436766" w:rsidP="00436766">
      <w:r w:rsidRPr="00436766">
        <w:rPr>
          <w:b/>
          <w:bCs/>
        </w:rPr>
        <w:t>SUBJECT:</w:t>
      </w:r>
      <w:r w:rsidRPr="00436766">
        <w:t> Comprehensive R&amp;D Strategy for Lung Cancer Immunotherapy (LUAD/LUSC) in US &amp; EU Markets</w:t>
      </w:r>
    </w:p>
    <w:p w14:paraId="70DAA100" w14:textId="77777777" w:rsidR="00436766" w:rsidRPr="00436766" w:rsidRDefault="00436766" w:rsidP="00436766">
      <w:pPr>
        <w:rPr>
          <w:b/>
          <w:bCs/>
        </w:rPr>
      </w:pPr>
      <w:r w:rsidRPr="00436766">
        <w:rPr>
          <w:b/>
          <w:bCs/>
        </w:rPr>
        <w:t>1. Executive Summary</w:t>
      </w:r>
    </w:p>
    <w:p w14:paraId="0E5F6C92" w14:textId="77777777" w:rsidR="00436766" w:rsidRPr="00436766" w:rsidRDefault="00436766" w:rsidP="00436766">
      <w:r w:rsidRPr="00436766">
        <w:t>This memo provides a comprehensive analysis of the immunotherapy landscape for lung adenocarcinoma (LUAD) and lung squamous cell carcinoma (LUSC), collectively non-small cell lung cancer (NSCLC), in the United States (US) and European Union (EU). The market is robust and expanding, projected to reach a combined value of approximately $18-21 billion by 2027, driven by label expansions into early-stage disease and the introduction of premium-priced, novel modalities [</w:t>
      </w:r>
      <w:hyperlink r:id="rId5" w:tgtFrame="_blank" w:history="1">
        <w:r w:rsidRPr="00436766">
          <w:rPr>
            <w:rStyle w:val="Hyperlink"/>
          </w:rPr>
          <w:t>3</w:t>
        </w:r>
      </w:hyperlink>
      <w:r w:rsidRPr="00436766">
        <w:t>][</w:t>
      </w:r>
      <w:hyperlink r:id="rId6" w:tgtFrame="_blank" w:history="1">
        <w:r w:rsidRPr="00436766">
          <w:rPr>
            <w:rStyle w:val="Hyperlink"/>
          </w:rPr>
          <w:t>4</w:t>
        </w:r>
      </w:hyperlink>
      <w:r w:rsidRPr="00436766">
        <w:t>].</w:t>
      </w:r>
    </w:p>
    <w:p w14:paraId="7DD4E258" w14:textId="77777777" w:rsidR="00436766" w:rsidRPr="00436766" w:rsidRDefault="00436766" w:rsidP="00436766">
      <w:r w:rsidRPr="00436766">
        <w:t>The competitive landscape is shifting decisively. While foundational PD-1/PD-L1 checkpoint inhibitors remain the standard of care, the space is saturated. Significant R&amp;D momentum has moved towards precision immuno-oncology, with antibody-drug conjugates (ADCs) and bispecific antibodies demonstrating profound efficacy in molecularly defined patient populations. In contrast, broad-acting next-generation checkpoint inhibitors, particularly those targeting TIGIT, have faced significant clinical setbacks, signaling a need for caution in this area [</w:t>
      </w:r>
      <w:hyperlink r:id="rId7" w:tgtFrame="_blank" w:history="1">
        <w:r w:rsidRPr="00436766">
          <w:rPr>
            <w:rStyle w:val="Hyperlink"/>
          </w:rPr>
          <w:t>1</w:t>
        </w:r>
      </w:hyperlink>
      <w:r w:rsidRPr="00436766">
        <w:t>][</w:t>
      </w:r>
      <w:hyperlink r:id="rId8" w:tgtFrame="_blank" w:history="1">
        <w:r w:rsidRPr="00436766">
          <w:rPr>
            <w:rStyle w:val="Hyperlink"/>
          </w:rPr>
          <w:t>2</w:t>
        </w:r>
      </w:hyperlink>
      <w:r w:rsidRPr="00436766">
        <w:t>].</w:t>
      </w:r>
    </w:p>
    <w:p w14:paraId="6AFC4AD8" w14:textId="77777777" w:rsidR="00436766" w:rsidRPr="00436766" w:rsidRDefault="00436766" w:rsidP="00436766">
      <w:r w:rsidRPr="00436766">
        <w:t>A critical challenge impeding further progress is immune resistance. Recent research highlights a complex interplay of tumor-intrinsic factors, an immunosuppressive tumor microenvironment (TME), and metabolic reprogramming [</w:t>
      </w:r>
      <w:hyperlink r:id="rId9" w:tgtFrame="_blank" w:history="1">
        <w:r w:rsidRPr="00436766">
          <w:rPr>
            <w:rStyle w:val="Hyperlink"/>
          </w:rPr>
          <w:t>11</w:t>
        </w:r>
      </w:hyperlink>
      <w:r w:rsidRPr="00436766">
        <w:t>]. Overcoming this will require sophisticated biomarker strategies that move beyond PD-L1 to include composite panels, liquid biopsies, and immune cell profiling, supported by evolving regulatory frameworks from the FDA and EMA [</w:t>
      </w:r>
      <w:hyperlink r:id="rId10" w:tgtFrame="_blank" w:history="1">
        <w:r w:rsidRPr="00436766">
          <w:rPr>
            <w:rStyle w:val="Hyperlink"/>
          </w:rPr>
          <w:t>20</w:t>
        </w:r>
      </w:hyperlink>
      <w:r w:rsidRPr="00436766">
        <w:t>][</w:t>
      </w:r>
      <w:hyperlink r:id="rId11" w:tgtFrame="_blank" w:history="1">
        <w:r w:rsidRPr="00436766">
          <w:rPr>
            <w:rStyle w:val="Hyperlink"/>
          </w:rPr>
          <w:t>23</w:t>
        </w:r>
      </w:hyperlink>
      <w:r w:rsidRPr="00436766">
        <w:t>].</w:t>
      </w:r>
    </w:p>
    <w:p w14:paraId="6BD02A7D" w14:textId="77777777" w:rsidR="00436766" w:rsidRPr="00436766" w:rsidRDefault="00436766" w:rsidP="00436766">
      <w:r w:rsidRPr="00436766">
        <w:t>Our strategic recommendations are to:</w:t>
      </w:r>
    </w:p>
    <w:p w14:paraId="2BFAFE83" w14:textId="77777777" w:rsidR="00436766" w:rsidRPr="00436766" w:rsidRDefault="00436766" w:rsidP="00436766">
      <w:pPr>
        <w:numPr>
          <w:ilvl w:val="0"/>
          <w:numId w:val="1"/>
        </w:numPr>
      </w:pPr>
      <w:r w:rsidRPr="00436766">
        <w:rPr>
          <w:b/>
          <w:bCs/>
        </w:rPr>
        <w:t>Prioritize Precision Immuno-Oncology:</w:t>
      </w:r>
      <w:r w:rsidRPr="00436766">
        <w:t> Focus on assets for molecularly defined populations.</w:t>
      </w:r>
    </w:p>
    <w:p w14:paraId="5702C03B" w14:textId="77777777" w:rsidR="00436766" w:rsidRPr="00436766" w:rsidRDefault="00436766" w:rsidP="00436766">
      <w:pPr>
        <w:numPr>
          <w:ilvl w:val="0"/>
          <w:numId w:val="1"/>
        </w:numPr>
      </w:pPr>
      <w:r w:rsidRPr="00436766">
        <w:rPr>
          <w:b/>
          <w:bCs/>
        </w:rPr>
        <w:t>Invest in Next-Generation Platforms:</w:t>
      </w:r>
      <w:r w:rsidRPr="00436766">
        <w:t> Double down on ADCs and bispecific antibodies.</w:t>
      </w:r>
    </w:p>
    <w:p w14:paraId="1F956CB4" w14:textId="77777777" w:rsidR="00436766" w:rsidRPr="00436766" w:rsidRDefault="00436766" w:rsidP="00436766">
      <w:pPr>
        <w:numPr>
          <w:ilvl w:val="0"/>
          <w:numId w:val="1"/>
        </w:numPr>
      </w:pPr>
      <w:r w:rsidRPr="00436766">
        <w:rPr>
          <w:b/>
          <w:bCs/>
        </w:rPr>
        <w:t>Design Rational Combination Therapies:</w:t>
      </w:r>
      <w:r w:rsidRPr="00436766">
        <w:t> Combine novel agents with established backbones and explore combinations that target resistance mechanisms.</w:t>
      </w:r>
    </w:p>
    <w:p w14:paraId="427803FE" w14:textId="77777777" w:rsidR="00436766" w:rsidRPr="00436766" w:rsidRDefault="00436766" w:rsidP="00436766">
      <w:pPr>
        <w:numPr>
          <w:ilvl w:val="0"/>
          <w:numId w:val="1"/>
        </w:numPr>
      </w:pPr>
      <w:r w:rsidRPr="00436766">
        <w:rPr>
          <w:b/>
          <w:bCs/>
        </w:rPr>
        <w:t>Integrate Advanced Biomarker Development:</w:t>
      </w:r>
      <w:r w:rsidRPr="00436766">
        <w:t> Embed a robust, forward-looking companion diagnostic strategy early in all clinical programs.</w:t>
      </w:r>
    </w:p>
    <w:p w14:paraId="113DEF82" w14:textId="77777777" w:rsidR="00436766" w:rsidRPr="00436766" w:rsidRDefault="00436766" w:rsidP="00436766">
      <w:pPr>
        <w:numPr>
          <w:ilvl w:val="0"/>
          <w:numId w:val="1"/>
        </w:numPr>
      </w:pPr>
      <w:r w:rsidRPr="00436766">
        <w:rPr>
          <w:b/>
          <w:bCs/>
        </w:rPr>
        <w:t>Address Immune Resistance Directly:</w:t>
      </w:r>
      <w:r w:rsidRPr="00436766">
        <w:t> Make the TME and metabolic dysregulation key targets for new therapeutic development.</w:t>
      </w:r>
    </w:p>
    <w:p w14:paraId="101A059A" w14:textId="77777777" w:rsidR="00436766" w:rsidRPr="00436766" w:rsidRDefault="00436766" w:rsidP="00436766">
      <w:pPr>
        <w:rPr>
          <w:b/>
          <w:bCs/>
        </w:rPr>
      </w:pPr>
      <w:r w:rsidRPr="00436766">
        <w:rPr>
          <w:b/>
          <w:bCs/>
        </w:rPr>
        <w:lastRenderedPageBreak/>
        <w:t>2. Market Landscape and Opportunity (2025–2027 Forecast)</w:t>
      </w:r>
    </w:p>
    <w:p w14:paraId="5155A156" w14:textId="77777777" w:rsidR="00436766" w:rsidRPr="00436766" w:rsidRDefault="00436766" w:rsidP="00436766">
      <w:r w:rsidRPr="00436766">
        <w:t>The lung cancer immunotherapy market is poised for substantial growth over the next three years, fueled by the expansion of approved agents into earlier, curative-intent settings and the launch of high-value novel therapies.</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83"/>
        <w:gridCol w:w="1386"/>
        <w:gridCol w:w="1562"/>
        <w:gridCol w:w="1278"/>
        <w:gridCol w:w="3866"/>
      </w:tblGrid>
      <w:tr w:rsidR="00436766" w:rsidRPr="00436766" w14:paraId="0E0E6737"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5D1B4984" w14:textId="77777777" w:rsidR="00436766" w:rsidRPr="00436766" w:rsidRDefault="00436766" w:rsidP="00436766">
            <w:r w:rsidRPr="00436766">
              <w:t>Region</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AE02EA8" w14:textId="77777777" w:rsidR="00436766" w:rsidRPr="00436766" w:rsidRDefault="00436766" w:rsidP="00436766">
            <w:r w:rsidRPr="00436766">
              <w:t>2024 Estimate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056ADDD8" w14:textId="77777777" w:rsidR="00436766" w:rsidRPr="00436766" w:rsidRDefault="00436766" w:rsidP="00436766">
            <w:r w:rsidRPr="00436766">
              <w:t>2027 Forecast</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FCD4FDA" w14:textId="77777777" w:rsidR="00436766" w:rsidRPr="00436766" w:rsidRDefault="00436766" w:rsidP="00436766">
            <w:r w:rsidRPr="00436766">
              <w:t>CAGR</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27D5ABA" w14:textId="77777777" w:rsidR="00436766" w:rsidRPr="00436766" w:rsidRDefault="00436766" w:rsidP="00436766">
            <w:r w:rsidRPr="00436766">
              <w:t>Key Growth Drivers</w:t>
            </w:r>
          </w:p>
        </w:tc>
      </w:tr>
      <w:tr w:rsidR="00436766" w:rsidRPr="00436766" w14:paraId="4F83CD00"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99A740F" w14:textId="77777777" w:rsidR="00436766" w:rsidRPr="00436766" w:rsidRDefault="00436766" w:rsidP="00436766">
            <w:r w:rsidRPr="00436766">
              <w:rPr>
                <w:b/>
                <w:bCs/>
              </w:rPr>
              <w:t>United States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5633D71" w14:textId="77777777" w:rsidR="00436766" w:rsidRPr="00436766" w:rsidRDefault="00436766" w:rsidP="00436766">
            <w:r w:rsidRPr="00436766">
              <w:t>$54.26 B (Total IO)</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B38D14C" w14:textId="77777777" w:rsidR="00436766" w:rsidRPr="00436766" w:rsidRDefault="00436766" w:rsidP="00436766">
            <w:r w:rsidRPr="00436766">
              <w:rPr>
                <w:b/>
                <w:bCs/>
              </w:rPr>
              <w:t>~$11 B - $14 B (Lung Cancer)</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DC221C1" w14:textId="77777777" w:rsidR="00436766" w:rsidRPr="00436766" w:rsidRDefault="00436766" w:rsidP="00436766">
            <w:r w:rsidRPr="00436766">
              <w:t>~12-15% (est. for Lung)</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B95DE73" w14:textId="77777777" w:rsidR="00436766" w:rsidRPr="00436766" w:rsidRDefault="00436766" w:rsidP="00436766">
            <w:r w:rsidRPr="00436766">
              <w:t>- Expansion into neoadjuvant/adjuvant settings (e.g., Nivolumab) [</w:t>
            </w:r>
            <w:hyperlink r:id="rId12" w:tgtFrame="_blank" w:history="1">
              <w:r w:rsidRPr="00436766">
                <w:rPr>
                  <w:rStyle w:val="Hyperlink"/>
                </w:rPr>
                <w:t>5</w:t>
              </w:r>
            </w:hyperlink>
            <w:r w:rsidRPr="00436766">
              <w:t>].</w:t>
            </w:r>
            <w:r w:rsidRPr="00436766">
              <w:br/>
              <w:t>- Launch of premium-priced ADCs (e.g., Dato-</w:t>
            </w:r>
            <w:proofErr w:type="spellStart"/>
            <w:r w:rsidRPr="00436766">
              <w:t>DXd</w:t>
            </w:r>
            <w:proofErr w:type="spellEnd"/>
            <w:r w:rsidRPr="00436766">
              <w:t xml:space="preserve">) and </w:t>
            </w:r>
            <w:proofErr w:type="spellStart"/>
            <w:r w:rsidRPr="00436766">
              <w:t>bispecifics</w:t>
            </w:r>
            <w:proofErr w:type="spellEnd"/>
            <w:r w:rsidRPr="00436766">
              <w:t> [</w:t>
            </w:r>
            <w:hyperlink r:id="rId13" w:tgtFrame="_blank" w:history="1">
              <w:r w:rsidRPr="00436766">
                <w:rPr>
                  <w:rStyle w:val="Hyperlink"/>
                </w:rPr>
                <w:t>7</w:t>
              </w:r>
            </w:hyperlink>
            <w:r w:rsidRPr="00436766">
              <w:t>].</w:t>
            </w:r>
            <w:r w:rsidRPr="00436766">
              <w:br/>
              <w:t>- Combinations targeting specific mutations (e.g., KRAS G12C) [</w:t>
            </w:r>
            <w:hyperlink r:id="rId14" w:tgtFrame="_blank" w:history="1">
              <w:r w:rsidRPr="00436766">
                <w:rPr>
                  <w:rStyle w:val="Hyperlink"/>
                </w:rPr>
                <w:t>8</w:t>
              </w:r>
            </w:hyperlink>
            <w:r w:rsidRPr="00436766">
              <w:t>].</w:t>
            </w:r>
          </w:p>
        </w:tc>
      </w:tr>
      <w:tr w:rsidR="00436766" w:rsidRPr="00436766" w14:paraId="6404DE82"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E5C5012" w14:textId="77777777" w:rsidR="00436766" w:rsidRPr="00436766" w:rsidRDefault="00436766" w:rsidP="00436766">
            <w:r w:rsidRPr="00436766">
              <w:rPr>
                <w:b/>
                <w:bCs/>
              </w:rPr>
              <w:t>European Union</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6787891" w14:textId="77777777" w:rsidR="00436766" w:rsidRPr="00436766" w:rsidRDefault="00436766" w:rsidP="00436766">
            <w:r w:rsidRPr="00436766">
              <w:t>~$4.00 B (Lung Cancer)</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6B604BA" w14:textId="77777777" w:rsidR="00436766" w:rsidRPr="00436766" w:rsidRDefault="00436766" w:rsidP="00436766">
            <w:r w:rsidRPr="00436766">
              <w:rPr>
                <w:b/>
                <w:bCs/>
              </w:rPr>
              <w:t>~$7.02 B (Lung Cancer)</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FE03A4D" w14:textId="77777777" w:rsidR="00436766" w:rsidRPr="00436766" w:rsidRDefault="00436766" w:rsidP="00436766">
            <w:r w:rsidRPr="00436766">
              <w:t>20.67%</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8295092" w14:textId="77777777" w:rsidR="00436766" w:rsidRPr="00436766" w:rsidRDefault="00436766" w:rsidP="00436766">
            <w:r w:rsidRPr="00436766">
              <w:t>- Faster HTA assessments for adjuvant indications accelerating uptake [</w:t>
            </w:r>
            <w:hyperlink r:id="rId15" w:tgtFrame="_blank" w:history="1">
              <w:r w:rsidRPr="00436766">
                <w:rPr>
                  <w:rStyle w:val="Hyperlink"/>
                </w:rPr>
                <w:t>4</w:t>
              </w:r>
            </w:hyperlink>
            <w:r w:rsidRPr="00436766">
              <w:t>].</w:t>
            </w:r>
            <w:r w:rsidRPr="00436766">
              <w:br/>
              <w:t>- Strong growth in major markets (Germany, France, Italy) [</w:t>
            </w:r>
            <w:hyperlink r:id="rId16" w:tgtFrame="_blank" w:history="1">
              <w:r w:rsidRPr="00436766">
                <w:rPr>
                  <w:rStyle w:val="Hyperlink"/>
                </w:rPr>
                <w:t>4</w:t>
              </w:r>
            </w:hyperlink>
            <w:r w:rsidRPr="00436766">
              <w:t>].</w:t>
            </w:r>
            <w:r w:rsidRPr="00436766">
              <w:br/>
              <w:t>- Adoption of novel combination regimens.</w:t>
            </w:r>
          </w:p>
        </w:tc>
      </w:tr>
    </w:tbl>
    <w:p w14:paraId="29D9099A" w14:textId="77777777" w:rsidR="00436766" w:rsidRPr="00436766" w:rsidRDefault="00436766" w:rsidP="00436766">
      <w:r w:rsidRPr="00436766">
        <w:rPr>
          <w:b/>
          <w:bCs/>
        </w:rPr>
        <w:t>Analysis of Growth Drivers:</w:t>
      </w:r>
    </w:p>
    <w:p w14:paraId="065233C3" w14:textId="77777777" w:rsidR="00436766" w:rsidRPr="00436766" w:rsidRDefault="00436766" w:rsidP="00436766">
      <w:pPr>
        <w:numPr>
          <w:ilvl w:val="0"/>
          <w:numId w:val="2"/>
        </w:numPr>
      </w:pPr>
      <w:r w:rsidRPr="00436766">
        <w:rPr>
          <w:b/>
          <w:bCs/>
        </w:rPr>
        <w:t>Volume Expansion:</w:t>
      </w:r>
      <w:r w:rsidRPr="00436766">
        <w:t xml:space="preserve"> The recent FDA approval and NCCN guideline inclusion of nivolumab for </w:t>
      </w:r>
      <w:proofErr w:type="spellStart"/>
      <w:r w:rsidRPr="00436766">
        <w:t>resectable</w:t>
      </w:r>
      <w:proofErr w:type="spellEnd"/>
      <w:r w:rsidRPr="00436766">
        <w:t xml:space="preserve"> NSCLC materially enlarges the treatable patient pool by an estimated 18-20%, targeting stages IB-IIIA, a cohort roughly twice the size of the metastatic population [</w:t>
      </w:r>
      <w:hyperlink r:id="rId17" w:tgtFrame="_blank" w:history="1">
        <w:r w:rsidRPr="00436766">
          <w:rPr>
            <w:rStyle w:val="Hyperlink"/>
          </w:rPr>
          <w:t>5</w:t>
        </w:r>
      </w:hyperlink>
      <w:r w:rsidRPr="00436766">
        <w:t>][</w:t>
      </w:r>
      <w:hyperlink r:id="rId18" w:tgtFrame="_blank" w:history="1">
        <w:r w:rsidRPr="00436766">
          <w:rPr>
            <w:rStyle w:val="Hyperlink"/>
          </w:rPr>
          <w:t>6</w:t>
        </w:r>
      </w:hyperlink>
      <w:r w:rsidRPr="00436766">
        <w:t>].</w:t>
      </w:r>
    </w:p>
    <w:p w14:paraId="1A987903" w14:textId="77777777" w:rsidR="00436766" w:rsidRPr="00436766" w:rsidRDefault="00436766" w:rsidP="00436766">
      <w:pPr>
        <w:numPr>
          <w:ilvl w:val="0"/>
          <w:numId w:val="2"/>
        </w:numPr>
      </w:pPr>
      <w:r w:rsidRPr="00436766">
        <w:rPr>
          <w:b/>
          <w:bCs/>
        </w:rPr>
        <w:t>Price and Mix:</w:t>
      </w:r>
      <w:r w:rsidRPr="00436766">
        <w:t xml:space="preserve"> New modalities like ADCs and </w:t>
      </w:r>
      <w:proofErr w:type="spellStart"/>
      <w:r w:rsidRPr="00436766">
        <w:t>bispecifics</w:t>
      </w:r>
      <w:proofErr w:type="spellEnd"/>
      <w:r w:rsidRPr="00436766">
        <w:t xml:space="preserve"> command list prices 2-3 times higher than traditional checkpoint inhibitors. Furthermore, combination regimens (e.g., chemo-IO) double the drug spend per patient, significantly lifting the average selling price and overall market value [</w:t>
      </w:r>
      <w:hyperlink r:id="rId19" w:tgtFrame="_blank" w:history="1">
        <w:r w:rsidRPr="00436766">
          <w:rPr>
            <w:rStyle w:val="Hyperlink"/>
          </w:rPr>
          <w:t>3</w:t>
        </w:r>
      </w:hyperlink>
      <w:r w:rsidRPr="00436766">
        <w:t>].</w:t>
      </w:r>
    </w:p>
    <w:p w14:paraId="66673244" w14:textId="77777777" w:rsidR="00436766" w:rsidRPr="00436766" w:rsidRDefault="00436766" w:rsidP="00436766">
      <w:pPr>
        <w:rPr>
          <w:b/>
          <w:bCs/>
        </w:rPr>
      </w:pPr>
      <w:r w:rsidRPr="00436766">
        <w:rPr>
          <w:b/>
          <w:bCs/>
        </w:rPr>
        <w:t>3. Competitive and Clinical Trial Landscape</w:t>
      </w:r>
    </w:p>
    <w:p w14:paraId="2000542A" w14:textId="77777777" w:rsidR="00436766" w:rsidRPr="00436766" w:rsidRDefault="00436766" w:rsidP="00436766">
      <w:r w:rsidRPr="00436766">
        <w:t>The NSCLC pipeline is dense and highly innovative, moving beyond monolithic checkpoint inhibition toward targeted and multi-modal approaches.</w:t>
      </w:r>
    </w:p>
    <w:p w14:paraId="47A99398" w14:textId="77777777" w:rsidR="00436766" w:rsidRPr="00436766" w:rsidRDefault="00436766" w:rsidP="00436766">
      <w:pPr>
        <w:rPr>
          <w:b/>
          <w:bCs/>
        </w:rPr>
      </w:pPr>
      <w:r w:rsidRPr="00436766">
        <w:rPr>
          <w:b/>
          <w:bCs/>
        </w:rPr>
        <w:t>3.1. Overview of Investigational Pipeline by Mechanism of Action</w:t>
      </w:r>
    </w:p>
    <w:p w14:paraId="4F8FFADF" w14:textId="77777777" w:rsidR="00436766" w:rsidRPr="00436766" w:rsidRDefault="00436766" w:rsidP="00436766">
      <w:r w:rsidRPr="00436766">
        <w:lastRenderedPageBreak/>
        <w:t xml:space="preserve">The current pipeline is dominated by Phase II and III assets, with a clear focus on novel checkpoint targets, </w:t>
      </w:r>
      <w:proofErr w:type="spellStart"/>
      <w:r w:rsidRPr="00436766">
        <w:t>bispecifics</w:t>
      </w:r>
      <w:proofErr w:type="spellEnd"/>
      <w:r w:rsidRPr="00436766">
        <w:t>, and ADCs [</w:t>
      </w:r>
      <w:hyperlink r:id="rId20" w:tgtFrame="_blank" w:history="1">
        <w:r w:rsidRPr="00436766">
          <w:rPr>
            <w:rStyle w:val="Hyperlink"/>
          </w:rPr>
          <w:t>2</w:t>
        </w:r>
      </w:hyperlink>
      <w:r w:rsidRPr="00436766">
        <w:t>].</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8"/>
        <w:gridCol w:w="1590"/>
        <w:gridCol w:w="2218"/>
        <w:gridCol w:w="1638"/>
        <w:gridCol w:w="2521"/>
      </w:tblGrid>
      <w:tr w:rsidR="00436766" w:rsidRPr="00436766" w14:paraId="7CF9C678"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1980FE1" w14:textId="77777777" w:rsidR="00436766" w:rsidRPr="00436766" w:rsidRDefault="00436766" w:rsidP="00436766">
            <w:r w:rsidRPr="00436766">
              <w:t>Mechanism of Action Class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21A626E6" w14:textId="77777777" w:rsidR="00436766" w:rsidRPr="00436766" w:rsidRDefault="00436766" w:rsidP="00436766">
            <w:r w:rsidRPr="00436766">
              <w:t>Key Targets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E2EF834" w14:textId="77777777" w:rsidR="00436766" w:rsidRPr="00436766" w:rsidRDefault="00436766" w:rsidP="00436766">
            <w:r w:rsidRPr="00436766">
              <w:t>Leading Phase III/BLA Candidates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AF4DB00" w14:textId="77777777" w:rsidR="00436766" w:rsidRPr="00436766" w:rsidRDefault="00436766" w:rsidP="00436766">
            <w:r w:rsidRPr="00436766">
              <w:t>Key Phase II Candidates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E826F6F" w14:textId="77777777" w:rsidR="00436766" w:rsidRPr="00436766" w:rsidRDefault="00436766" w:rsidP="00436766">
            <w:r w:rsidRPr="00436766">
              <w:t>Strategic Insight</w:t>
            </w:r>
          </w:p>
        </w:tc>
      </w:tr>
      <w:tr w:rsidR="00436766" w:rsidRPr="00436766" w14:paraId="3937002B"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53FDEEF" w14:textId="77777777" w:rsidR="00436766" w:rsidRPr="00436766" w:rsidRDefault="00436766" w:rsidP="00436766">
            <w:r w:rsidRPr="00436766">
              <w:rPr>
                <w:b/>
                <w:bCs/>
              </w:rPr>
              <w:t>Checkpoint Inhibitors (Next-Gen)</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E583BAF" w14:textId="77777777" w:rsidR="00436766" w:rsidRPr="00436766" w:rsidRDefault="00436766" w:rsidP="00436766">
            <w:r w:rsidRPr="00436766">
              <w:t>TIGIT, LAG-3, TIM-3, CD73</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9F67FA4" w14:textId="77777777" w:rsidR="00436766" w:rsidRPr="00436766" w:rsidRDefault="00436766" w:rsidP="00436766">
            <w:proofErr w:type="spellStart"/>
            <w:r w:rsidRPr="00436766">
              <w:t>Domvanalimab</w:t>
            </w:r>
            <w:proofErr w:type="spellEnd"/>
            <w:r w:rsidRPr="00436766">
              <w:t xml:space="preserve">, </w:t>
            </w:r>
            <w:proofErr w:type="spellStart"/>
            <w:r w:rsidRPr="00436766">
              <w:t>Ociperlimab</w:t>
            </w:r>
            <w:proofErr w:type="spellEnd"/>
            <w:r w:rsidRPr="00436766">
              <w:t xml:space="preserve">, </w:t>
            </w:r>
            <w:proofErr w:type="spellStart"/>
            <w:r w:rsidRPr="00436766">
              <w:t>Fianlimab</w:t>
            </w:r>
            <w:proofErr w:type="spellEnd"/>
            <w:r w:rsidRPr="00436766">
              <w:t xml:space="preserve">, </w:t>
            </w:r>
            <w:proofErr w:type="spellStart"/>
            <w:r w:rsidRPr="00436766">
              <w:t>Cobolimab</w:t>
            </w:r>
            <w:proofErr w:type="spellEnd"/>
            <w:r w:rsidRPr="00436766">
              <w:t xml:space="preserve">, </w:t>
            </w:r>
            <w:proofErr w:type="spellStart"/>
            <w:r w:rsidRPr="00436766">
              <w:t>Oleclumab</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08B92F6" w14:textId="77777777" w:rsidR="00436766" w:rsidRPr="00436766" w:rsidRDefault="00436766" w:rsidP="00436766">
            <w:r w:rsidRPr="00436766">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591E626" w14:textId="77777777" w:rsidR="00436766" w:rsidRPr="00436766" w:rsidRDefault="00436766" w:rsidP="00436766">
            <w:r w:rsidRPr="00436766">
              <w:t xml:space="preserve">High-risk, </w:t>
            </w:r>
            <w:proofErr w:type="gramStart"/>
            <w:r w:rsidRPr="00436766">
              <w:t>high-reward</w:t>
            </w:r>
            <w:proofErr w:type="gramEnd"/>
            <w:r w:rsidRPr="00436766">
              <w:t>. TIGIT programs have largely failed to show significant benefit, suggesting this target may be less viable than anticipated [</w:t>
            </w:r>
            <w:hyperlink r:id="rId21" w:tgtFrame="_blank" w:history="1">
              <w:r w:rsidRPr="00436766">
                <w:rPr>
                  <w:rStyle w:val="Hyperlink"/>
                </w:rPr>
                <w:t>1</w:t>
              </w:r>
            </w:hyperlink>
            <w:r w:rsidRPr="00436766">
              <w:t>].</w:t>
            </w:r>
          </w:p>
        </w:tc>
      </w:tr>
      <w:tr w:rsidR="00436766" w:rsidRPr="00436766" w14:paraId="5E3744B6"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E0E4C96" w14:textId="77777777" w:rsidR="00436766" w:rsidRPr="00436766" w:rsidRDefault="00436766" w:rsidP="00436766">
            <w:r w:rsidRPr="00436766">
              <w:rPr>
                <w:b/>
                <w:bCs/>
              </w:rPr>
              <w:t>Bispecific Antibodies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59CDD99" w14:textId="77777777" w:rsidR="00436766" w:rsidRPr="00436766" w:rsidRDefault="00436766" w:rsidP="00436766">
            <w:r w:rsidRPr="00436766">
              <w:t>PD-1/VEGF, EGFR/c-Met, PD-1/CTLA-4, PD-L1/4-1BB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DEE1EE1" w14:textId="77777777" w:rsidR="00436766" w:rsidRPr="00436766" w:rsidRDefault="00436766" w:rsidP="00436766">
            <w:proofErr w:type="spellStart"/>
            <w:r w:rsidRPr="00436766">
              <w:t>Ivonescimab</w:t>
            </w:r>
            <w:proofErr w:type="spellEnd"/>
            <w:r w:rsidRPr="00436766">
              <w:t xml:space="preserve">, </w:t>
            </w:r>
            <w:proofErr w:type="spellStart"/>
            <w:r w:rsidRPr="00436766">
              <w:t>Volrustomig</w:t>
            </w:r>
            <w:proofErr w:type="spellEnd"/>
            <w:r w:rsidRPr="00436766">
              <w:t xml:space="preserve">, </w:t>
            </w:r>
            <w:proofErr w:type="spellStart"/>
            <w:r w:rsidRPr="00436766">
              <w:t>Rilvegostomig</w:t>
            </w:r>
            <w:proofErr w:type="spellEnd"/>
            <w:r w:rsidRPr="00436766">
              <w:t xml:space="preserve">, </w:t>
            </w:r>
            <w:proofErr w:type="spellStart"/>
            <w:r w:rsidRPr="00436766">
              <w:t>Acasunlimab</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32397F3" w14:textId="77777777" w:rsidR="00436766" w:rsidRPr="00436766" w:rsidRDefault="00436766" w:rsidP="00436766">
            <w:r w:rsidRPr="00436766">
              <w:t xml:space="preserve">MCLA-129 (EGFR/c-Met), </w:t>
            </w:r>
            <w:proofErr w:type="spellStart"/>
            <w:r w:rsidRPr="00436766">
              <w:t>Davutamig</w:t>
            </w:r>
            <w:proofErr w:type="spellEnd"/>
            <w:r w:rsidRPr="00436766">
              <w:t xml:space="preserve"> (MET)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78902A4" w14:textId="77777777" w:rsidR="00436766" w:rsidRPr="00436766" w:rsidRDefault="00436766" w:rsidP="00436766">
            <w:r w:rsidRPr="00436766">
              <w:t>A major area of innovation and success. Dual-targeting approaches are showing synergistic effects, particularly in defined populations [</w:t>
            </w:r>
            <w:hyperlink r:id="rId22" w:tgtFrame="_blank" w:history="1">
              <w:r w:rsidRPr="00436766">
                <w:rPr>
                  <w:rStyle w:val="Hyperlink"/>
                </w:rPr>
                <w:t>1</w:t>
              </w:r>
            </w:hyperlink>
            <w:r w:rsidRPr="00436766">
              <w:t>][</w:t>
            </w:r>
            <w:hyperlink r:id="rId23" w:tgtFrame="_blank" w:history="1">
              <w:r w:rsidRPr="00436766">
                <w:rPr>
                  <w:rStyle w:val="Hyperlink"/>
                </w:rPr>
                <w:t>2</w:t>
              </w:r>
            </w:hyperlink>
            <w:r w:rsidRPr="00436766">
              <w:t>].</w:t>
            </w:r>
          </w:p>
        </w:tc>
      </w:tr>
      <w:tr w:rsidR="00436766" w:rsidRPr="00436766" w14:paraId="69983DCA"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953F321" w14:textId="77777777" w:rsidR="00436766" w:rsidRPr="00436766" w:rsidRDefault="00436766" w:rsidP="00436766">
            <w:r w:rsidRPr="00436766">
              <w:rPr>
                <w:b/>
                <w:bCs/>
              </w:rPr>
              <w:t>Antibody-Drug Conjugates (ADCs)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4A2F9E0" w14:textId="77777777" w:rsidR="00436766" w:rsidRPr="00436766" w:rsidRDefault="00436766" w:rsidP="00436766">
            <w:r w:rsidRPr="00436766">
              <w:t>TROP2, HER3, Integrin β6, c-Met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B58EBC1" w14:textId="77777777" w:rsidR="00436766" w:rsidRPr="00436766" w:rsidRDefault="00436766" w:rsidP="00436766">
            <w:proofErr w:type="spellStart"/>
            <w:r w:rsidRPr="00436766">
              <w:rPr>
                <w:b/>
                <w:bCs/>
              </w:rPr>
              <w:t>Datopotamab</w:t>
            </w:r>
            <w:proofErr w:type="spellEnd"/>
            <w:r w:rsidRPr="00436766">
              <w:rPr>
                <w:b/>
                <w:bCs/>
              </w:rPr>
              <w:t xml:space="preserve"> </w:t>
            </w:r>
            <w:proofErr w:type="spellStart"/>
            <w:r w:rsidRPr="00436766">
              <w:rPr>
                <w:b/>
                <w:bCs/>
              </w:rPr>
              <w:t>deruxtecan</w:t>
            </w:r>
            <w:proofErr w:type="spellEnd"/>
            <w:r w:rsidRPr="00436766">
              <w:rPr>
                <w:b/>
                <w:bCs/>
              </w:rPr>
              <w:t xml:space="preserve"> (BLA)</w:t>
            </w:r>
            <w:r w:rsidRPr="00436766">
              <w:t xml:space="preserve">, Sacituzumab </w:t>
            </w:r>
            <w:proofErr w:type="spellStart"/>
            <w:r w:rsidRPr="00436766">
              <w:t>tirumotecan</w:t>
            </w:r>
            <w:proofErr w:type="spellEnd"/>
            <w:r w:rsidRPr="00436766">
              <w:t xml:space="preserve">, </w:t>
            </w:r>
            <w:proofErr w:type="spellStart"/>
            <w:r w:rsidRPr="00436766">
              <w:t>Patritumab</w:t>
            </w:r>
            <w:proofErr w:type="spellEnd"/>
            <w:r w:rsidRPr="00436766">
              <w:t xml:space="preserve"> </w:t>
            </w:r>
            <w:proofErr w:type="spellStart"/>
            <w:r w:rsidRPr="00436766">
              <w:t>deruxtecan</w:t>
            </w:r>
            <w:proofErr w:type="spellEnd"/>
            <w:r w:rsidRPr="00436766">
              <w:t xml:space="preserve">, </w:t>
            </w:r>
            <w:proofErr w:type="spellStart"/>
            <w:r w:rsidRPr="00436766">
              <w:t>Sigvotatug</w:t>
            </w:r>
            <w:proofErr w:type="spellEnd"/>
            <w:r w:rsidRPr="00436766">
              <w:t xml:space="preserve"> </w:t>
            </w:r>
            <w:proofErr w:type="spellStart"/>
            <w:r w:rsidRPr="00436766">
              <w:t>vedotin</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D591BD1" w14:textId="77777777" w:rsidR="00436766" w:rsidRPr="00436766" w:rsidRDefault="00436766" w:rsidP="00436766">
            <w:proofErr w:type="spellStart"/>
            <w:r w:rsidRPr="00436766">
              <w:t>Luveltamab</w:t>
            </w:r>
            <w:proofErr w:type="spellEnd"/>
            <w:r w:rsidRPr="00436766">
              <w:t xml:space="preserve"> </w:t>
            </w:r>
            <w:proofErr w:type="spellStart"/>
            <w:r w:rsidRPr="00436766">
              <w:t>tazevibulin</w:t>
            </w:r>
            <w:proofErr w:type="spellEnd"/>
            <w:r w:rsidRPr="00436766">
              <w:t xml:space="preserve"> (FOLR1), </w:t>
            </w:r>
            <w:proofErr w:type="spellStart"/>
            <w:r w:rsidRPr="00436766">
              <w:t>Mecbotamab</w:t>
            </w:r>
            <w:proofErr w:type="spellEnd"/>
            <w:r w:rsidRPr="00436766">
              <w:t xml:space="preserve"> </w:t>
            </w:r>
            <w:proofErr w:type="spellStart"/>
            <w:r w:rsidRPr="00436766">
              <w:t>vedotin</w:t>
            </w:r>
            <w:proofErr w:type="spellEnd"/>
            <w:r w:rsidRPr="00436766">
              <w:t xml:space="preserve"> (AXL)</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E8CC617" w14:textId="77777777" w:rsidR="00436766" w:rsidRPr="00436766" w:rsidRDefault="00436766" w:rsidP="00436766">
            <w:r w:rsidRPr="00436766">
              <w:t>Highly successful modality. TROP2-targeting ADCs are emerging as a new pillar of therapy across NSCLC subtypes [</w:t>
            </w:r>
            <w:hyperlink r:id="rId24" w:tgtFrame="_blank" w:history="1">
              <w:r w:rsidRPr="00436766">
                <w:rPr>
                  <w:rStyle w:val="Hyperlink"/>
                </w:rPr>
                <w:t>1</w:t>
              </w:r>
            </w:hyperlink>
            <w:r w:rsidRPr="00436766">
              <w:t>][</w:t>
            </w:r>
            <w:hyperlink r:id="rId25" w:tgtFrame="_blank" w:history="1">
              <w:r w:rsidRPr="00436766">
                <w:rPr>
                  <w:rStyle w:val="Hyperlink"/>
                </w:rPr>
                <w:t>2</w:t>
              </w:r>
            </w:hyperlink>
            <w:r w:rsidRPr="00436766">
              <w:t>].</w:t>
            </w:r>
          </w:p>
        </w:tc>
      </w:tr>
      <w:tr w:rsidR="00436766" w:rsidRPr="00436766" w14:paraId="52D75E8B"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0875BA2" w14:textId="77777777" w:rsidR="00436766" w:rsidRPr="00436766" w:rsidRDefault="00436766" w:rsidP="00436766">
            <w:r w:rsidRPr="00436766">
              <w:rPr>
                <w:b/>
                <w:bCs/>
              </w:rPr>
              <w:t>Cancer Vaccines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3D302E2" w14:textId="77777777" w:rsidR="00436766" w:rsidRPr="00436766" w:rsidRDefault="00436766" w:rsidP="00436766">
            <w:r w:rsidRPr="00436766">
              <w:t>Neoantigens, KRAS, NY-ESO-1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122784F" w14:textId="77777777" w:rsidR="00436766" w:rsidRPr="00436766" w:rsidRDefault="00436766" w:rsidP="00436766">
            <w:proofErr w:type="spellStart"/>
            <w:r w:rsidRPr="00436766">
              <w:t>Tedopi</w:t>
            </w:r>
            <w:proofErr w:type="spellEnd"/>
            <w:r w:rsidRPr="00436766">
              <w:t>, Personalized mRNA vaccine (Merck/Moderna)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26E513A" w14:textId="77777777" w:rsidR="00436766" w:rsidRPr="00436766" w:rsidRDefault="00436766" w:rsidP="00436766">
            <w:r w:rsidRPr="00436766">
              <w:t>ELI-002 (KRAS), VB10.NEO, CDX-1401 (NY-ESO-1)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D2F18CE" w14:textId="77777777" w:rsidR="00436766" w:rsidRPr="00436766" w:rsidRDefault="00436766" w:rsidP="00436766">
            <w:r w:rsidRPr="00436766">
              <w:t>Represents a potential paradigm shift toward personalized immunotherapy, with key Phase III readouts anticipated [</w:t>
            </w:r>
            <w:hyperlink r:id="rId26" w:tgtFrame="_blank" w:history="1">
              <w:r w:rsidRPr="00436766">
                <w:rPr>
                  <w:rStyle w:val="Hyperlink"/>
                </w:rPr>
                <w:t>2</w:t>
              </w:r>
            </w:hyperlink>
            <w:r w:rsidRPr="00436766">
              <w:t>].</w:t>
            </w:r>
          </w:p>
        </w:tc>
      </w:tr>
      <w:tr w:rsidR="00436766" w:rsidRPr="00436766" w14:paraId="5AACF3C3"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B52CDD1" w14:textId="77777777" w:rsidR="00436766" w:rsidRPr="00436766" w:rsidRDefault="00436766" w:rsidP="00436766">
            <w:r w:rsidRPr="00436766">
              <w:rPr>
                <w:b/>
                <w:bCs/>
              </w:rPr>
              <w:t xml:space="preserve">Cell-Based </w:t>
            </w:r>
            <w:r w:rsidRPr="00436766">
              <w:rPr>
                <w:b/>
                <w:bCs/>
              </w:rPr>
              <w:lastRenderedPageBreak/>
              <w:t>Therapies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2AEA42B" w14:textId="77777777" w:rsidR="00436766" w:rsidRPr="00436766" w:rsidRDefault="00436766" w:rsidP="00436766">
            <w:r w:rsidRPr="00436766">
              <w:lastRenderedPageBreak/>
              <w:t xml:space="preserve">MSLN, CD19, </w:t>
            </w:r>
            <w:r w:rsidRPr="00436766">
              <w:lastRenderedPageBreak/>
              <w:t>IL-2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0DCC5E9" w14:textId="77777777" w:rsidR="00436766" w:rsidRPr="00436766" w:rsidRDefault="00436766" w:rsidP="00436766">
            <w:r w:rsidRPr="00436766">
              <w:lastRenderedPageBreak/>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0A14FA3" w14:textId="77777777" w:rsidR="00436766" w:rsidRPr="00436766" w:rsidRDefault="00436766" w:rsidP="00436766">
            <w:r w:rsidRPr="00436766">
              <w:t xml:space="preserve">A2B-694 </w:t>
            </w:r>
            <w:r w:rsidRPr="00436766">
              <w:lastRenderedPageBreak/>
              <w:t>(MSLN CAR-T), KYV-101 (CD19 CAR-T), AVB-001 (IL-2)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77911CE" w14:textId="77777777" w:rsidR="00436766" w:rsidRPr="00436766" w:rsidRDefault="00436766" w:rsidP="00436766">
            <w:r w:rsidRPr="00436766">
              <w:lastRenderedPageBreak/>
              <w:t>Still in early-to-mid-</w:t>
            </w:r>
            <w:r w:rsidRPr="00436766">
              <w:lastRenderedPageBreak/>
              <w:t>stage development for solid tumors, facing challenges with trafficking and persistence [</w:t>
            </w:r>
            <w:hyperlink r:id="rId27" w:tgtFrame="_blank" w:history="1">
              <w:r w:rsidRPr="00436766">
                <w:rPr>
                  <w:rStyle w:val="Hyperlink"/>
                </w:rPr>
                <w:t>2</w:t>
              </w:r>
            </w:hyperlink>
            <w:r w:rsidRPr="00436766">
              <w:t>].</w:t>
            </w:r>
          </w:p>
        </w:tc>
      </w:tr>
    </w:tbl>
    <w:p w14:paraId="38105735" w14:textId="77777777" w:rsidR="00436766" w:rsidRPr="00436766" w:rsidRDefault="00436766" w:rsidP="00436766">
      <w:pPr>
        <w:rPr>
          <w:b/>
          <w:bCs/>
        </w:rPr>
      </w:pPr>
      <w:r w:rsidRPr="00436766">
        <w:rPr>
          <w:b/>
          <w:bCs/>
        </w:rPr>
        <w:lastRenderedPageBreak/>
        <w:t>3.2. Deep Dive into Key Clinical Programs</w:t>
      </w:r>
    </w:p>
    <w:p w14:paraId="65EE5E26" w14:textId="77777777" w:rsidR="00436766" w:rsidRPr="00436766" w:rsidRDefault="00436766" w:rsidP="00436766">
      <w:r w:rsidRPr="00436766">
        <w:t>Recent trial data reveals a clear bifurcation between highly successful precision therapies and struggling next-generation immunotherapies [</w:t>
      </w:r>
      <w:hyperlink r:id="rId28" w:tgtFrame="_blank" w:history="1">
        <w:r w:rsidRPr="00436766">
          <w:rPr>
            <w:rStyle w:val="Hyperlink"/>
          </w:rPr>
          <w:t>1</w:t>
        </w:r>
      </w:hyperlink>
      <w:r w:rsidRPr="00436766">
        <w:t>].</w:t>
      </w:r>
    </w:p>
    <w:p w14:paraId="049EC61A" w14:textId="77777777" w:rsidR="00436766" w:rsidRPr="00436766" w:rsidRDefault="00436766" w:rsidP="00436766">
      <w:r w:rsidRPr="00436766">
        <w:rPr>
          <w:b/>
          <w:bCs/>
        </w:rPr>
        <w:t>Programs Demonstrating High Potential:</w:t>
      </w:r>
    </w:p>
    <w:p w14:paraId="5A22954E" w14:textId="77777777" w:rsidR="00436766" w:rsidRPr="00436766" w:rsidRDefault="00436766" w:rsidP="00436766">
      <w:pPr>
        <w:numPr>
          <w:ilvl w:val="0"/>
          <w:numId w:val="3"/>
        </w:numPr>
      </w:pPr>
      <w:proofErr w:type="spellStart"/>
      <w:r w:rsidRPr="00436766">
        <w:rPr>
          <w:b/>
          <w:bCs/>
        </w:rPr>
        <w:t>Amivantamab</w:t>
      </w:r>
      <w:proofErr w:type="spellEnd"/>
      <w:r w:rsidRPr="00436766">
        <w:rPr>
          <w:b/>
          <w:bCs/>
        </w:rPr>
        <w:t xml:space="preserve"> (EGFR/c-Met Bispecific) + Lazertinib (EGFR TKI):</w:t>
      </w:r>
      <w:r w:rsidRPr="00436766">
        <w:t xml:space="preserve"> The Phase III MARIPOSA study showed a landmark overall survival (OS) benefit in 1L EGFR+ NSCLC versus </w:t>
      </w:r>
      <w:proofErr w:type="spellStart"/>
      <w:r w:rsidRPr="00436766">
        <w:t>osimertinib</w:t>
      </w:r>
      <w:proofErr w:type="spellEnd"/>
      <w:r w:rsidRPr="00436766">
        <w:t xml:space="preserve"> (median OS not reached vs. 36.7 months; HR=0.75). The combination also significantly improved progression-free survival (PFS) (23.7 vs. 16.6 months; HR=0.70) [</w:t>
      </w:r>
      <w:hyperlink r:id="rId29" w:tgtFrame="_blank" w:history="1">
        <w:r w:rsidRPr="00436766">
          <w:rPr>
            <w:rStyle w:val="Hyperlink"/>
          </w:rPr>
          <w:t>1</w:t>
        </w:r>
      </w:hyperlink>
      <w:r w:rsidRPr="00436766">
        <w:t>]. This positions the combination as a potential new standard of care.</w:t>
      </w:r>
    </w:p>
    <w:p w14:paraId="7BC6C493" w14:textId="77777777" w:rsidR="00436766" w:rsidRPr="00436766" w:rsidRDefault="00436766" w:rsidP="00436766">
      <w:pPr>
        <w:numPr>
          <w:ilvl w:val="0"/>
          <w:numId w:val="3"/>
        </w:numPr>
      </w:pPr>
      <w:r w:rsidRPr="00436766">
        <w:rPr>
          <w:b/>
          <w:bCs/>
        </w:rPr>
        <w:t>TROP2-Targeting ADCs:</w:t>
      </w:r>
    </w:p>
    <w:p w14:paraId="1370232E" w14:textId="77777777" w:rsidR="00436766" w:rsidRPr="00436766" w:rsidRDefault="00436766" w:rsidP="00436766">
      <w:pPr>
        <w:numPr>
          <w:ilvl w:val="1"/>
          <w:numId w:val="3"/>
        </w:numPr>
      </w:pPr>
      <w:proofErr w:type="spellStart"/>
      <w:r w:rsidRPr="00436766">
        <w:rPr>
          <w:b/>
          <w:bCs/>
        </w:rPr>
        <w:t>Datopotamab</w:t>
      </w:r>
      <w:proofErr w:type="spellEnd"/>
      <w:r w:rsidRPr="00436766">
        <w:rPr>
          <w:b/>
          <w:bCs/>
        </w:rPr>
        <w:t xml:space="preserve"> </w:t>
      </w:r>
      <w:proofErr w:type="spellStart"/>
      <w:r w:rsidRPr="00436766">
        <w:rPr>
          <w:b/>
          <w:bCs/>
        </w:rPr>
        <w:t>deruxtecan</w:t>
      </w:r>
      <w:proofErr w:type="spellEnd"/>
      <w:r w:rsidRPr="00436766">
        <w:rPr>
          <w:b/>
          <w:bCs/>
        </w:rPr>
        <w:t xml:space="preserve"> (Dato-</w:t>
      </w:r>
      <w:proofErr w:type="spellStart"/>
      <w:r w:rsidRPr="00436766">
        <w:rPr>
          <w:b/>
          <w:bCs/>
        </w:rPr>
        <w:t>DXd</w:t>
      </w:r>
      <w:proofErr w:type="spellEnd"/>
      <w:r w:rsidRPr="00436766">
        <w:rPr>
          <w:b/>
          <w:bCs/>
        </w:rPr>
        <w:t>):</w:t>
      </w:r>
      <w:r w:rsidRPr="00436766">
        <w:t> Received FDA accelerated approval for EGFR-mutant NSCLC post-TKI failure [</w:t>
      </w:r>
      <w:hyperlink r:id="rId30" w:tgtFrame="_blank" w:history="1">
        <w:r w:rsidRPr="00436766">
          <w:rPr>
            <w:rStyle w:val="Hyperlink"/>
          </w:rPr>
          <w:t>7</w:t>
        </w:r>
      </w:hyperlink>
      <w:r w:rsidRPr="00436766">
        <w:t>]. In combination with durvalumab, it showed a 57.5% overall response rate (ORR) in a 1L Phase I study [</w:t>
      </w:r>
      <w:hyperlink r:id="rId31" w:tgtFrame="_blank" w:history="1">
        <w:r w:rsidRPr="00436766">
          <w:rPr>
            <w:rStyle w:val="Hyperlink"/>
          </w:rPr>
          <w:t>1</w:t>
        </w:r>
      </w:hyperlink>
      <w:r w:rsidRPr="00436766">
        <w:t>].</w:t>
      </w:r>
    </w:p>
    <w:p w14:paraId="50026537" w14:textId="77777777" w:rsidR="00436766" w:rsidRPr="00436766" w:rsidRDefault="00436766" w:rsidP="00436766">
      <w:pPr>
        <w:numPr>
          <w:ilvl w:val="1"/>
          <w:numId w:val="3"/>
        </w:numPr>
      </w:pPr>
      <w:r w:rsidRPr="00436766">
        <w:rPr>
          <w:b/>
          <w:bCs/>
        </w:rPr>
        <w:t xml:space="preserve">Sacituzumab </w:t>
      </w:r>
      <w:proofErr w:type="spellStart"/>
      <w:r w:rsidRPr="00436766">
        <w:rPr>
          <w:b/>
          <w:bCs/>
        </w:rPr>
        <w:t>Tirumotecan</w:t>
      </w:r>
      <w:proofErr w:type="spellEnd"/>
      <w:r w:rsidRPr="00436766">
        <w:rPr>
          <w:b/>
          <w:bCs/>
        </w:rPr>
        <w:t>:</w:t>
      </w:r>
      <w:r w:rsidRPr="00436766">
        <w:t> Demonstrated superiority over docetaxel in EGFR+ NSCLC, with a significantly higher ORR (45.1% vs. 15.6%) and longer PFS (6.9 vs. 2.8 months) [</w:t>
      </w:r>
      <w:hyperlink r:id="rId32" w:tgtFrame="_blank" w:history="1">
        <w:r w:rsidRPr="00436766">
          <w:rPr>
            <w:rStyle w:val="Hyperlink"/>
          </w:rPr>
          <w:t>1</w:t>
        </w:r>
      </w:hyperlink>
      <w:r w:rsidRPr="00436766">
        <w:t>].</w:t>
      </w:r>
    </w:p>
    <w:p w14:paraId="06F1D017" w14:textId="77777777" w:rsidR="00436766" w:rsidRPr="00436766" w:rsidRDefault="00436766" w:rsidP="00436766">
      <w:pPr>
        <w:numPr>
          <w:ilvl w:val="0"/>
          <w:numId w:val="3"/>
        </w:numPr>
      </w:pPr>
      <w:proofErr w:type="spellStart"/>
      <w:r w:rsidRPr="00436766">
        <w:rPr>
          <w:b/>
          <w:bCs/>
        </w:rPr>
        <w:t>Tarlatamab</w:t>
      </w:r>
      <w:proofErr w:type="spellEnd"/>
      <w:r w:rsidRPr="00436766">
        <w:rPr>
          <w:b/>
          <w:bCs/>
        </w:rPr>
        <w:t xml:space="preserve"> (CD3/DLL3 Bispecific):</w:t>
      </w:r>
      <w:r w:rsidRPr="00436766">
        <w:t xml:space="preserve"> In a Phase III trial for heavily pre-treated small-cell lung cancer (SCLC), </w:t>
      </w:r>
      <w:proofErr w:type="spellStart"/>
      <w:r w:rsidRPr="00436766">
        <w:t>tarlatamab</w:t>
      </w:r>
      <w:proofErr w:type="spellEnd"/>
      <w:r w:rsidRPr="00436766">
        <w:t xml:space="preserve"> reduced the risk of death by 40% compared to standard chemotherapy (median OS 13.6 vs. 8.3 months), establishing a new benchmark in this hard-to-treat population [</w:t>
      </w:r>
      <w:hyperlink r:id="rId33" w:tgtFrame="_blank" w:history="1">
        <w:r w:rsidRPr="00436766">
          <w:rPr>
            <w:rStyle w:val="Hyperlink"/>
          </w:rPr>
          <w:t>1</w:t>
        </w:r>
      </w:hyperlink>
      <w:r w:rsidRPr="00436766">
        <w:t>]. Its success highlights the potential of bispecific T-cell engagers against novel targets.</w:t>
      </w:r>
    </w:p>
    <w:p w14:paraId="05C8C56C" w14:textId="77777777" w:rsidR="00436766" w:rsidRPr="00436766" w:rsidRDefault="00436766" w:rsidP="00436766">
      <w:pPr>
        <w:numPr>
          <w:ilvl w:val="0"/>
          <w:numId w:val="3"/>
        </w:numPr>
      </w:pPr>
      <w:r w:rsidRPr="00436766">
        <w:rPr>
          <w:b/>
          <w:bCs/>
        </w:rPr>
        <w:t>Tislelizumab (PD-1 Inhibitor):</w:t>
      </w:r>
      <w:r w:rsidRPr="00436766">
        <w:t xml:space="preserve"> In the neoadjuvant setting for </w:t>
      </w:r>
      <w:proofErr w:type="spellStart"/>
      <w:r w:rsidRPr="00436766">
        <w:t>resectable</w:t>
      </w:r>
      <w:proofErr w:type="spellEnd"/>
      <w:r w:rsidRPr="00436766">
        <w:t xml:space="preserve"> NSCLC, tislelizumab plus chemotherapy led to vastly superior pathological responses </w:t>
      </w:r>
      <w:r w:rsidRPr="00436766">
        <w:lastRenderedPageBreak/>
        <w:t>compared to chemo alone, including a major pathological response (MPR) rate of 56.2% vs. 15.0% and a pathological complete response (</w:t>
      </w:r>
      <w:proofErr w:type="spellStart"/>
      <w:r w:rsidRPr="00436766">
        <w:t>pCR</w:t>
      </w:r>
      <w:proofErr w:type="spellEnd"/>
      <w:r w:rsidRPr="00436766">
        <w:t>) rate of 40.7% vs. 5.7% [</w:t>
      </w:r>
      <w:hyperlink r:id="rId34" w:tgtFrame="_blank" w:history="1">
        <w:r w:rsidRPr="00436766">
          <w:rPr>
            <w:rStyle w:val="Hyperlink"/>
          </w:rPr>
          <w:t>1</w:t>
        </w:r>
      </w:hyperlink>
      <w:r w:rsidRPr="00436766">
        <w:t>].</w:t>
      </w:r>
    </w:p>
    <w:p w14:paraId="024A6328" w14:textId="77777777" w:rsidR="00436766" w:rsidRPr="00436766" w:rsidRDefault="00436766" w:rsidP="00436766">
      <w:r w:rsidRPr="00436766">
        <w:rPr>
          <w:b/>
          <w:bCs/>
        </w:rPr>
        <w:t>Programs with Negative or Disappointing Results:</w:t>
      </w:r>
    </w:p>
    <w:p w14:paraId="7ACA9B5E" w14:textId="77777777" w:rsidR="00436766" w:rsidRPr="00436766" w:rsidRDefault="00436766" w:rsidP="00436766">
      <w:pPr>
        <w:numPr>
          <w:ilvl w:val="0"/>
          <w:numId w:val="4"/>
        </w:numPr>
      </w:pPr>
      <w:r w:rsidRPr="00436766">
        <w:rPr>
          <w:b/>
          <w:bCs/>
        </w:rPr>
        <w:t>TIGIT Inhibitors:</w:t>
      </w:r>
      <w:r w:rsidRPr="00436766">
        <w:t> This class has faced multiple high-profile failures.</w:t>
      </w:r>
    </w:p>
    <w:p w14:paraId="49B75AF0" w14:textId="77777777" w:rsidR="00436766" w:rsidRPr="00436766" w:rsidRDefault="00436766" w:rsidP="00436766">
      <w:pPr>
        <w:numPr>
          <w:ilvl w:val="1"/>
          <w:numId w:val="4"/>
        </w:numPr>
      </w:pPr>
      <w:proofErr w:type="spellStart"/>
      <w:r w:rsidRPr="00436766">
        <w:rPr>
          <w:b/>
          <w:bCs/>
        </w:rPr>
        <w:t>Tiragolumab</w:t>
      </w:r>
      <w:proofErr w:type="spellEnd"/>
      <w:r w:rsidRPr="00436766">
        <w:rPr>
          <w:b/>
          <w:bCs/>
        </w:rPr>
        <w:t xml:space="preserve"> (Roche) + Atezolizumab:</w:t>
      </w:r>
      <w:r w:rsidRPr="00436766">
        <w:t> The Phase III SKYSCRAPER-01 trial failed to meet its primary OS endpoint in PD-L1-high NSCLC (22.9 vs. 16.7 months; HR=0.81, not statistically significant) [</w:t>
      </w:r>
      <w:hyperlink r:id="rId35" w:tgtFrame="_blank" w:history="1">
        <w:r w:rsidRPr="00436766">
          <w:rPr>
            <w:rStyle w:val="Hyperlink"/>
          </w:rPr>
          <w:t>1</w:t>
        </w:r>
      </w:hyperlink>
      <w:r w:rsidRPr="00436766">
        <w:t>].</w:t>
      </w:r>
    </w:p>
    <w:p w14:paraId="1A28886D" w14:textId="77777777" w:rsidR="00436766" w:rsidRPr="00436766" w:rsidRDefault="00436766" w:rsidP="00436766">
      <w:pPr>
        <w:numPr>
          <w:ilvl w:val="1"/>
          <w:numId w:val="4"/>
        </w:numPr>
      </w:pPr>
      <w:proofErr w:type="spellStart"/>
      <w:r w:rsidRPr="00436766">
        <w:rPr>
          <w:b/>
          <w:bCs/>
        </w:rPr>
        <w:t>Belrestotug</w:t>
      </w:r>
      <w:proofErr w:type="spellEnd"/>
      <w:r w:rsidRPr="00436766">
        <w:rPr>
          <w:b/>
          <w:bCs/>
        </w:rPr>
        <w:t xml:space="preserve"> (GSK/</w:t>
      </w:r>
      <w:proofErr w:type="spellStart"/>
      <w:r w:rsidRPr="00436766">
        <w:rPr>
          <w:b/>
          <w:bCs/>
        </w:rPr>
        <w:t>iTeos</w:t>
      </w:r>
      <w:proofErr w:type="spellEnd"/>
      <w:r w:rsidRPr="00436766">
        <w:rPr>
          <w:b/>
          <w:bCs/>
        </w:rPr>
        <w:t xml:space="preserve">) + </w:t>
      </w:r>
      <w:proofErr w:type="spellStart"/>
      <w:r w:rsidRPr="00436766">
        <w:rPr>
          <w:b/>
          <w:bCs/>
        </w:rPr>
        <w:t>Dostarlimab</w:t>
      </w:r>
      <w:proofErr w:type="spellEnd"/>
      <w:r w:rsidRPr="00436766">
        <w:rPr>
          <w:b/>
          <w:bCs/>
        </w:rPr>
        <w:t>:</w:t>
      </w:r>
      <w:r w:rsidRPr="00436766">
        <w:t> The development program was terminated after a Phase II study failed to meet its PFS criteria, despite showing an initial improvement in ORR [</w:t>
      </w:r>
      <w:hyperlink r:id="rId36" w:tgtFrame="_blank" w:history="1">
        <w:r w:rsidRPr="00436766">
          <w:rPr>
            <w:rStyle w:val="Hyperlink"/>
          </w:rPr>
          <w:t>1</w:t>
        </w:r>
      </w:hyperlink>
      <w:r w:rsidRPr="00436766">
        <w:t>]. These failures cast significant doubt on the broad clinical utility of TIGIT inhibition in NSCLC.</w:t>
      </w:r>
    </w:p>
    <w:p w14:paraId="20066BE8" w14:textId="77777777" w:rsidR="00436766" w:rsidRPr="00436766" w:rsidRDefault="00436766" w:rsidP="00436766">
      <w:pPr>
        <w:rPr>
          <w:b/>
          <w:bCs/>
        </w:rPr>
      </w:pPr>
      <w:r w:rsidRPr="00436766">
        <w:rPr>
          <w:b/>
          <w:bCs/>
        </w:rPr>
        <w:t>4. Key Players and Strategic Alliances</w:t>
      </w:r>
    </w:p>
    <w:p w14:paraId="31666080" w14:textId="77777777" w:rsidR="00436766" w:rsidRPr="00436766" w:rsidRDefault="00436766" w:rsidP="00436766">
      <w:r w:rsidRPr="00436766">
        <w:t>The NSCLC immunotherapy space is dominated by large pharmaceutical companies that are consolidating their positions through strategic partnerships and acquisitions.</w:t>
      </w:r>
    </w:p>
    <w:p w14:paraId="3F90D156" w14:textId="77777777" w:rsidR="00436766" w:rsidRPr="00436766" w:rsidRDefault="00436766" w:rsidP="00436766">
      <w:r w:rsidRPr="00436766">
        <w:rPr>
          <w:b/>
          <w:bCs/>
        </w:rPr>
        <w:t>Leading Companies by Pipeline Size (Phase II-Approved)</w:t>
      </w:r>
      <w:r w:rsidRPr="00436766">
        <w:t> [</w:t>
      </w:r>
      <w:hyperlink r:id="rId37" w:tgtFrame="_blank" w:history="1">
        <w:r w:rsidRPr="00436766">
          <w:rPr>
            <w:rStyle w:val="Hyperlink"/>
          </w:rPr>
          <w:t>2</w:t>
        </w:r>
      </w:hyperlink>
      <w:r w:rsidRPr="00436766">
        <w:t>]</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10"/>
        <w:gridCol w:w="1260"/>
        <w:gridCol w:w="1234"/>
        <w:gridCol w:w="1219"/>
        <w:gridCol w:w="1143"/>
        <w:gridCol w:w="2909"/>
      </w:tblGrid>
      <w:tr w:rsidR="00436766" w:rsidRPr="00436766" w14:paraId="5F39B626"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1BBAAFB" w14:textId="77777777" w:rsidR="00436766" w:rsidRPr="00436766" w:rsidRDefault="00436766" w:rsidP="00436766">
            <w:r w:rsidRPr="00436766">
              <w:t>Company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079B37C1" w14:textId="77777777" w:rsidR="00436766" w:rsidRPr="00436766" w:rsidRDefault="00436766" w:rsidP="00436766">
            <w:r w:rsidRPr="00436766">
              <w:t>Approved Programs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8B68F0C" w14:textId="77777777" w:rsidR="00436766" w:rsidRPr="00436766" w:rsidRDefault="00436766" w:rsidP="00436766">
            <w:r w:rsidRPr="00436766">
              <w:t>Phase III Programs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E9AB872" w14:textId="77777777" w:rsidR="00436766" w:rsidRPr="00436766" w:rsidRDefault="00436766" w:rsidP="00436766">
            <w:r w:rsidRPr="00436766">
              <w:t>Phase II Programs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50A2B545" w14:textId="77777777" w:rsidR="00436766" w:rsidRPr="00436766" w:rsidRDefault="00436766" w:rsidP="00436766">
            <w:r w:rsidRPr="00436766">
              <w:t>Total Programs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0D10F954" w14:textId="77777777" w:rsidR="00436766" w:rsidRPr="00436766" w:rsidRDefault="00436766" w:rsidP="00436766">
            <w:r w:rsidRPr="00436766">
              <w:t>Key Assets</w:t>
            </w:r>
          </w:p>
        </w:tc>
      </w:tr>
      <w:tr w:rsidR="00436766" w:rsidRPr="00436766" w14:paraId="0F638552"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40DB735" w14:textId="77777777" w:rsidR="00436766" w:rsidRPr="00436766" w:rsidRDefault="00436766" w:rsidP="00436766">
            <w:r w:rsidRPr="00436766">
              <w:rPr>
                <w:b/>
                <w:bCs/>
              </w:rPr>
              <w:t>AstraZeneca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D3A3934" w14:textId="77777777" w:rsidR="00436766" w:rsidRPr="00436766" w:rsidRDefault="00436766" w:rsidP="00436766">
            <w:r w:rsidRPr="00436766">
              <w:t>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DB16EA3" w14:textId="77777777" w:rsidR="00436766" w:rsidRPr="00436766" w:rsidRDefault="00436766" w:rsidP="00436766">
            <w:r w:rsidRPr="00436766">
              <w:t>6</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AEE2886" w14:textId="77777777" w:rsidR="00436766" w:rsidRPr="00436766" w:rsidRDefault="00436766" w:rsidP="00436766">
            <w:r w:rsidRPr="00436766">
              <w:t>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D957731" w14:textId="77777777" w:rsidR="00436766" w:rsidRPr="00436766" w:rsidRDefault="00436766" w:rsidP="00436766">
            <w:r w:rsidRPr="00436766">
              <w:t>9</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A0A7CD3" w14:textId="77777777" w:rsidR="00436766" w:rsidRPr="00436766" w:rsidRDefault="00436766" w:rsidP="00436766">
            <w:r w:rsidRPr="00436766">
              <w:t>Durvalumab, Tremelimumab, Dato-</w:t>
            </w:r>
            <w:proofErr w:type="spellStart"/>
            <w:r w:rsidRPr="00436766">
              <w:t>DXd</w:t>
            </w:r>
            <w:proofErr w:type="spellEnd"/>
            <w:r w:rsidRPr="00436766">
              <w:t xml:space="preserve">, </w:t>
            </w:r>
            <w:proofErr w:type="spellStart"/>
            <w:r w:rsidRPr="00436766">
              <w:t>Oleclumab</w:t>
            </w:r>
            <w:proofErr w:type="spellEnd"/>
            <w:r w:rsidRPr="00436766">
              <w:t xml:space="preserve">, </w:t>
            </w:r>
            <w:proofErr w:type="spellStart"/>
            <w:r w:rsidRPr="00436766">
              <w:t>Volrustomig</w:t>
            </w:r>
            <w:proofErr w:type="spellEnd"/>
          </w:p>
        </w:tc>
      </w:tr>
      <w:tr w:rsidR="00436766" w:rsidRPr="00436766" w14:paraId="7CF5AC18"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7FE4605" w14:textId="77777777" w:rsidR="00436766" w:rsidRPr="00436766" w:rsidRDefault="00436766" w:rsidP="00436766">
            <w:r w:rsidRPr="00436766">
              <w:rPr>
                <w:b/>
                <w:bCs/>
              </w:rPr>
              <w:t>Merck &amp; Co.</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0D12699" w14:textId="77777777" w:rsidR="00436766" w:rsidRPr="00436766" w:rsidRDefault="00436766" w:rsidP="00436766">
            <w:r w:rsidRPr="00436766">
              <w:t>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2C2B44B" w14:textId="77777777" w:rsidR="00436766" w:rsidRPr="00436766" w:rsidRDefault="00436766" w:rsidP="00436766">
            <w:r w:rsidRPr="00436766">
              <w:t>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28B6CB3" w14:textId="77777777" w:rsidR="00436766" w:rsidRPr="00436766" w:rsidRDefault="00436766" w:rsidP="00436766">
            <w:r w:rsidRPr="00436766">
              <w:t>3</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9D5E57E" w14:textId="77777777" w:rsidR="00436766" w:rsidRPr="00436766" w:rsidRDefault="00436766" w:rsidP="00436766">
            <w:r w:rsidRPr="00436766">
              <w:t>8</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DD20423" w14:textId="77777777" w:rsidR="00436766" w:rsidRPr="00436766" w:rsidRDefault="00436766" w:rsidP="00436766">
            <w:r w:rsidRPr="00436766">
              <w:t xml:space="preserve">Pembrolizumab, </w:t>
            </w:r>
            <w:proofErr w:type="spellStart"/>
            <w:r w:rsidRPr="00436766">
              <w:t>Vibostolimab</w:t>
            </w:r>
            <w:proofErr w:type="spellEnd"/>
            <w:r w:rsidRPr="00436766">
              <w:t>, Personalized mRNA vaccine</w:t>
            </w:r>
          </w:p>
        </w:tc>
      </w:tr>
      <w:tr w:rsidR="00436766" w:rsidRPr="00436766" w14:paraId="2545E1E7"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7D81ECF" w14:textId="77777777" w:rsidR="00436766" w:rsidRPr="00436766" w:rsidRDefault="00436766" w:rsidP="00436766">
            <w:r w:rsidRPr="00436766">
              <w:rPr>
                <w:b/>
                <w:bCs/>
              </w:rPr>
              <w:t>Bristol Myers Squibb</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922E269" w14:textId="77777777" w:rsidR="00436766" w:rsidRPr="00436766" w:rsidRDefault="00436766" w:rsidP="00436766">
            <w:r w:rsidRPr="00436766">
              <w:t>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A54AFB0" w14:textId="77777777" w:rsidR="00436766" w:rsidRPr="00436766" w:rsidRDefault="00436766" w:rsidP="00436766">
            <w:r w:rsidRPr="00436766">
              <w:t>0</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DE4A8BC" w14:textId="77777777" w:rsidR="00436766" w:rsidRPr="00436766" w:rsidRDefault="00436766" w:rsidP="00436766">
            <w:r w:rsidRPr="00436766">
              <w:t>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82A1E2B" w14:textId="77777777" w:rsidR="00436766" w:rsidRPr="00436766" w:rsidRDefault="00436766" w:rsidP="00436766">
            <w:r w:rsidRPr="00436766">
              <w:t>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2D44ACA" w14:textId="77777777" w:rsidR="00436766" w:rsidRPr="00436766" w:rsidRDefault="00436766" w:rsidP="00436766">
            <w:r w:rsidRPr="00436766">
              <w:t>Nivolumab, Ipilimumab</w:t>
            </w:r>
          </w:p>
        </w:tc>
      </w:tr>
      <w:tr w:rsidR="00436766" w:rsidRPr="00436766" w14:paraId="0398C081"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4F82F71" w14:textId="77777777" w:rsidR="00436766" w:rsidRPr="00436766" w:rsidRDefault="00436766" w:rsidP="00436766">
            <w:r w:rsidRPr="00436766">
              <w:rPr>
                <w:b/>
                <w:bCs/>
              </w:rPr>
              <w:t>Pfizer</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040C855" w14:textId="77777777" w:rsidR="00436766" w:rsidRPr="00436766" w:rsidRDefault="00436766" w:rsidP="00436766">
            <w:r w:rsidRPr="00436766">
              <w:t>0</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0524D42" w14:textId="77777777" w:rsidR="00436766" w:rsidRPr="00436766" w:rsidRDefault="00436766" w:rsidP="00436766">
            <w:r w:rsidRPr="00436766">
              <w:t>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06A916D" w14:textId="77777777" w:rsidR="00436766" w:rsidRPr="00436766" w:rsidRDefault="00436766" w:rsidP="00436766">
            <w:r w:rsidRPr="00436766">
              <w:t>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359E221" w14:textId="77777777" w:rsidR="00436766" w:rsidRPr="00436766" w:rsidRDefault="00436766" w:rsidP="00436766">
            <w:r w:rsidRPr="00436766">
              <w:t>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A44FC88" w14:textId="77777777" w:rsidR="00436766" w:rsidRPr="00436766" w:rsidRDefault="00436766" w:rsidP="00436766">
            <w:r w:rsidRPr="00436766">
              <w:t xml:space="preserve">Avelumab, </w:t>
            </w:r>
            <w:proofErr w:type="spellStart"/>
            <w:r w:rsidRPr="00436766">
              <w:t>Sasanlimab</w:t>
            </w:r>
            <w:proofErr w:type="spellEnd"/>
            <w:r w:rsidRPr="00436766">
              <w:t xml:space="preserve">, </w:t>
            </w:r>
            <w:proofErr w:type="spellStart"/>
            <w:r w:rsidRPr="00436766">
              <w:t>Sigvotatug</w:t>
            </w:r>
            <w:proofErr w:type="spellEnd"/>
            <w:r w:rsidRPr="00436766">
              <w:t xml:space="preserve"> </w:t>
            </w:r>
            <w:proofErr w:type="spellStart"/>
            <w:r w:rsidRPr="00436766">
              <w:t>vedotin</w:t>
            </w:r>
            <w:proofErr w:type="spellEnd"/>
          </w:p>
        </w:tc>
      </w:tr>
      <w:tr w:rsidR="00436766" w:rsidRPr="00436766" w14:paraId="1DF22B7F"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61DD933" w14:textId="77777777" w:rsidR="00436766" w:rsidRPr="00436766" w:rsidRDefault="00436766" w:rsidP="00436766">
            <w:proofErr w:type="spellStart"/>
            <w:r w:rsidRPr="00436766">
              <w:rPr>
                <w:b/>
                <w:bCs/>
              </w:rPr>
              <w:t>BeiGene</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222462F" w14:textId="77777777" w:rsidR="00436766" w:rsidRPr="00436766" w:rsidRDefault="00436766" w:rsidP="00436766">
            <w:r w:rsidRPr="00436766">
              <w:t>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7EB2595" w14:textId="77777777" w:rsidR="00436766" w:rsidRPr="00436766" w:rsidRDefault="00436766" w:rsidP="00436766">
            <w:r w:rsidRPr="00436766">
              <w:t>2</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30D9AED" w14:textId="77777777" w:rsidR="00436766" w:rsidRPr="00436766" w:rsidRDefault="00436766" w:rsidP="00436766">
            <w:r w:rsidRPr="00436766">
              <w:t>1</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BFD28BF" w14:textId="77777777" w:rsidR="00436766" w:rsidRPr="00436766" w:rsidRDefault="00436766" w:rsidP="00436766">
            <w:r w:rsidRPr="00436766">
              <w:t>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A111F80" w14:textId="77777777" w:rsidR="00436766" w:rsidRPr="00436766" w:rsidRDefault="00436766" w:rsidP="00436766">
            <w:r w:rsidRPr="00436766">
              <w:t xml:space="preserve">Tislelizumab, </w:t>
            </w:r>
            <w:proofErr w:type="spellStart"/>
            <w:r w:rsidRPr="00436766">
              <w:t>Ociperlimab</w:t>
            </w:r>
            <w:proofErr w:type="spellEnd"/>
          </w:p>
        </w:tc>
      </w:tr>
    </w:tbl>
    <w:p w14:paraId="6E7B713D" w14:textId="77777777" w:rsidR="00436766" w:rsidRPr="00436766" w:rsidRDefault="00436766" w:rsidP="00436766">
      <w:r w:rsidRPr="00436766">
        <w:rPr>
          <w:b/>
          <w:bCs/>
        </w:rPr>
        <w:t>Pivotal Collaborations Driving Innovation:</w:t>
      </w:r>
    </w:p>
    <w:p w14:paraId="10B423A7" w14:textId="77777777" w:rsidR="00436766" w:rsidRPr="00436766" w:rsidRDefault="00436766" w:rsidP="00436766">
      <w:pPr>
        <w:numPr>
          <w:ilvl w:val="0"/>
          <w:numId w:val="5"/>
        </w:numPr>
      </w:pPr>
      <w:r w:rsidRPr="00436766">
        <w:rPr>
          <w:b/>
          <w:bCs/>
        </w:rPr>
        <w:lastRenderedPageBreak/>
        <w:t>AstraZeneca &amp; Daiichi Sankyo:</w:t>
      </w:r>
      <w:r w:rsidRPr="00436766">
        <w:t> This partnership is a model for ADC development. The expansion of their Dato-</w:t>
      </w:r>
      <w:proofErr w:type="spellStart"/>
      <w:r w:rsidRPr="00436766">
        <w:t>DXd</w:t>
      </w:r>
      <w:proofErr w:type="spellEnd"/>
      <w:r w:rsidRPr="00436766">
        <w:t xml:space="preserve"> collaboration, valued at up to $5.6 billion, targets EGFR-mutant NSCLC after TKI resistance and leverages premium pricing to drive revenue [</w:t>
      </w:r>
      <w:hyperlink r:id="rId38" w:tgtFrame="_blank" w:history="1">
        <w:r w:rsidRPr="00436766">
          <w:rPr>
            <w:rStyle w:val="Hyperlink"/>
          </w:rPr>
          <w:t>7</w:t>
        </w:r>
      </w:hyperlink>
      <w:r w:rsidRPr="00436766">
        <w:t>].</w:t>
      </w:r>
    </w:p>
    <w:p w14:paraId="69C8861F" w14:textId="77777777" w:rsidR="00436766" w:rsidRPr="00436766" w:rsidRDefault="00436766" w:rsidP="00436766">
      <w:pPr>
        <w:numPr>
          <w:ilvl w:val="0"/>
          <w:numId w:val="5"/>
        </w:numPr>
      </w:pPr>
      <w:r w:rsidRPr="00436766">
        <w:rPr>
          <w:b/>
          <w:bCs/>
        </w:rPr>
        <w:t>Merck &amp; Boehringer Ingelheim:</w:t>
      </w:r>
      <w:r w:rsidRPr="00436766">
        <w:t xml:space="preserve"> Their co-development and profit-sharing agreement for the KRAS G12C inhibitor </w:t>
      </w:r>
      <w:proofErr w:type="spellStart"/>
      <w:r w:rsidRPr="00436766">
        <w:t>olomorasib</w:t>
      </w:r>
      <w:proofErr w:type="spellEnd"/>
      <w:r w:rsidRPr="00436766">
        <w:t xml:space="preserve"> combines Merck's Keytruda franchise with a targeted agent. This defensive and offensive move aims to create a new standard of care for 20-25% of KRAS-mutant patients upon launch [</w:t>
      </w:r>
      <w:hyperlink r:id="rId39" w:tgtFrame="_blank" w:history="1">
        <w:r w:rsidRPr="00436766">
          <w:rPr>
            <w:rStyle w:val="Hyperlink"/>
          </w:rPr>
          <w:t>8</w:t>
        </w:r>
      </w:hyperlink>
      <w:r w:rsidRPr="00436766">
        <w:t>].</w:t>
      </w:r>
    </w:p>
    <w:p w14:paraId="4CCE45E7" w14:textId="77777777" w:rsidR="00436766" w:rsidRPr="00436766" w:rsidRDefault="00436766" w:rsidP="00436766">
      <w:pPr>
        <w:numPr>
          <w:ilvl w:val="0"/>
          <w:numId w:val="5"/>
        </w:numPr>
      </w:pPr>
      <w:r w:rsidRPr="00436766">
        <w:rPr>
          <w:b/>
          <w:bCs/>
        </w:rPr>
        <w:t>Arcus &amp; Gilead:</w:t>
      </w:r>
      <w:r w:rsidRPr="00436766">
        <w:t xml:space="preserve"> The partnership on the TIGIT inhibitor </w:t>
      </w:r>
      <w:proofErr w:type="spellStart"/>
      <w:r w:rsidRPr="00436766">
        <w:t>domvanalimab</w:t>
      </w:r>
      <w:proofErr w:type="spellEnd"/>
      <w:r w:rsidRPr="00436766">
        <w:t xml:space="preserve"> and PD-1 inhibitor </w:t>
      </w:r>
      <w:proofErr w:type="spellStart"/>
      <w:r w:rsidRPr="00436766">
        <w:t>zimberelimab</w:t>
      </w:r>
      <w:proofErr w:type="spellEnd"/>
      <w:r w:rsidRPr="00436766">
        <w:t>, while facing headwinds from the broader TIGIT class failures, represents a significant bet on this novel checkpoint pathway [</w:t>
      </w:r>
      <w:hyperlink r:id="rId40" w:tgtFrame="_blank" w:history="1">
        <w:r w:rsidRPr="00436766">
          <w:rPr>
            <w:rStyle w:val="Hyperlink"/>
          </w:rPr>
          <w:t>2</w:t>
        </w:r>
      </w:hyperlink>
      <w:r w:rsidRPr="00436766">
        <w:t>].</w:t>
      </w:r>
    </w:p>
    <w:p w14:paraId="205C8550" w14:textId="77777777" w:rsidR="00436766" w:rsidRPr="00436766" w:rsidRDefault="00436766" w:rsidP="00436766">
      <w:pPr>
        <w:rPr>
          <w:b/>
          <w:bCs/>
        </w:rPr>
      </w:pPr>
      <w:r w:rsidRPr="00436766">
        <w:rPr>
          <w:b/>
          <w:bCs/>
        </w:rPr>
        <w:t>5. Regulatory Environment and Milestones</w:t>
      </w:r>
    </w:p>
    <w:p w14:paraId="1873121A" w14:textId="77777777" w:rsidR="00436766" w:rsidRPr="00436766" w:rsidRDefault="00436766" w:rsidP="00436766">
      <w:r w:rsidRPr="00436766">
        <w:t>The regulatory landscape is favorable for innovative therapies, with agencies offering accelerated pathways that shorten development timelines and drive market entry.</w:t>
      </w:r>
    </w:p>
    <w:p w14:paraId="118A203A" w14:textId="77777777" w:rsidR="00436766" w:rsidRPr="00436766" w:rsidRDefault="00436766" w:rsidP="00436766">
      <w:r w:rsidRPr="00436766">
        <w:rPr>
          <w:b/>
          <w:bCs/>
        </w:rPr>
        <w:t>Recent and Anticipated Regulatory Milestones (US/EU)</w:t>
      </w:r>
      <w:r w:rsidRPr="00436766">
        <w:t> [</w:t>
      </w:r>
      <w:hyperlink r:id="rId41" w:tgtFrame="_blank" w:history="1">
        <w:r w:rsidRPr="00436766">
          <w:rPr>
            <w:rStyle w:val="Hyperlink"/>
          </w:rPr>
          <w:t>3</w:t>
        </w:r>
      </w:hyperlink>
      <w:r w:rsidRPr="00436766">
        <w:t>]</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7"/>
        <w:gridCol w:w="1504"/>
        <w:gridCol w:w="2719"/>
        <w:gridCol w:w="3205"/>
      </w:tblGrid>
      <w:tr w:rsidR="00436766" w:rsidRPr="00436766" w14:paraId="74309ABF"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B030E0F" w14:textId="77777777" w:rsidR="00436766" w:rsidRPr="00436766" w:rsidRDefault="00436766" w:rsidP="00436766">
            <w:r w:rsidRPr="00436766">
              <w:t>Date (Actual/Expected)</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3F3F501B" w14:textId="77777777" w:rsidR="00436766" w:rsidRPr="00436766" w:rsidRDefault="00436766" w:rsidP="00436766">
            <w:r w:rsidRPr="00436766">
              <w:t>Asset / Company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AF102FB" w14:textId="77777777" w:rsidR="00436766" w:rsidRPr="00436766" w:rsidRDefault="00436766" w:rsidP="00436766">
            <w:r w:rsidRPr="00436766">
              <w:t>Milestone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0B0C5BF6" w14:textId="77777777" w:rsidR="00436766" w:rsidRPr="00436766" w:rsidRDefault="00436766" w:rsidP="00436766">
            <w:r w:rsidRPr="00436766">
              <w:t>Strategic Impact</w:t>
            </w:r>
          </w:p>
        </w:tc>
      </w:tr>
      <w:tr w:rsidR="00436766" w:rsidRPr="00436766" w14:paraId="6C016ABD"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7AD7BF0" w14:textId="77777777" w:rsidR="00436766" w:rsidRPr="00436766" w:rsidRDefault="00436766" w:rsidP="00436766">
            <w:r w:rsidRPr="00436766">
              <w:rPr>
                <w:b/>
                <w:bCs/>
              </w:rPr>
              <w:t>Mar 2024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578650E" w14:textId="77777777" w:rsidR="00436766" w:rsidRPr="00436766" w:rsidRDefault="00436766" w:rsidP="00436766">
            <w:r w:rsidRPr="00436766">
              <w:t>Nivolumab + Chemo (BMS)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6C98CC6" w14:textId="77777777" w:rsidR="00436766" w:rsidRPr="00436766" w:rsidRDefault="00436766" w:rsidP="00436766">
            <w:r w:rsidRPr="00436766">
              <w:rPr>
                <w:b/>
                <w:bCs/>
              </w:rPr>
              <w:t>FDA Approval</w:t>
            </w:r>
            <w:r w:rsidRPr="00436766">
              <w:t> (Neoadjuvant + Adjuvant)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D2A54BB" w14:textId="77777777" w:rsidR="00436766" w:rsidRPr="00436766" w:rsidRDefault="00436766" w:rsidP="00436766">
            <w:r w:rsidRPr="00436766">
              <w:t xml:space="preserve">Opens a large, new market in early-stage </w:t>
            </w:r>
            <w:proofErr w:type="spellStart"/>
            <w:r w:rsidRPr="00436766">
              <w:t>resectable</w:t>
            </w:r>
            <w:proofErr w:type="spellEnd"/>
            <w:r w:rsidRPr="00436766">
              <w:t xml:space="preserve"> NSCLC, with &gt;$1B in annual revenue potential by 2027 [</w:t>
            </w:r>
            <w:hyperlink r:id="rId42" w:tgtFrame="_blank" w:history="1">
              <w:r w:rsidRPr="00436766">
                <w:rPr>
                  <w:rStyle w:val="Hyperlink"/>
                </w:rPr>
                <w:t>5</w:t>
              </w:r>
            </w:hyperlink>
            <w:r w:rsidRPr="00436766">
              <w:t>].</w:t>
            </w:r>
          </w:p>
        </w:tc>
      </w:tr>
      <w:tr w:rsidR="00436766" w:rsidRPr="00436766" w14:paraId="46F159D0"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D68C894" w14:textId="77777777" w:rsidR="00436766" w:rsidRPr="00436766" w:rsidRDefault="00436766" w:rsidP="00436766">
            <w:r w:rsidRPr="00436766">
              <w:rPr>
                <w:b/>
                <w:bCs/>
              </w:rPr>
              <w:t>May 2024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7E3893F" w14:textId="77777777" w:rsidR="00436766" w:rsidRPr="00436766" w:rsidRDefault="00436766" w:rsidP="00436766">
            <w:r w:rsidRPr="00436766">
              <w:t>Dato-</w:t>
            </w:r>
            <w:proofErr w:type="spellStart"/>
            <w:r w:rsidRPr="00436766">
              <w:t>DXd</w:t>
            </w:r>
            <w:proofErr w:type="spellEnd"/>
            <w:r w:rsidRPr="00436766">
              <w:t xml:space="preserve"> (AZ/Daiichi)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F14E132" w14:textId="77777777" w:rsidR="00436766" w:rsidRPr="00436766" w:rsidRDefault="00436766" w:rsidP="00436766">
            <w:r w:rsidRPr="00436766">
              <w:rPr>
                <w:b/>
                <w:bCs/>
              </w:rPr>
              <w:t>FDA Accelerated Approval</w:t>
            </w:r>
            <w:r w:rsidRPr="00436766">
              <w:t> (Post-TKI EGFRm+)</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F10148E" w14:textId="77777777" w:rsidR="00436766" w:rsidRPr="00436766" w:rsidRDefault="00436766" w:rsidP="00436766">
            <w:r w:rsidRPr="00436766">
              <w:t>Establishes a foothold for TROP2 ADCs in a key resistance setting with high unmet need and premium pricing [</w:t>
            </w:r>
            <w:hyperlink r:id="rId43" w:tgtFrame="_blank" w:history="1">
              <w:r w:rsidRPr="00436766">
                <w:rPr>
                  <w:rStyle w:val="Hyperlink"/>
                </w:rPr>
                <w:t>7</w:t>
              </w:r>
            </w:hyperlink>
            <w:r w:rsidRPr="00436766">
              <w:t>].</w:t>
            </w:r>
          </w:p>
        </w:tc>
      </w:tr>
      <w:tr w:rsidR="00436766" w:rsidRPr="00436766" w14:paraId="187E646B"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40F4C51" w14:textId="77777777" w:rsidR="00436766" w:rsidRPr="00436766" w:rsidRDefault="00436766" w:rsidP="00436766">
            <w:r w:rsidRPr="00436766">
              <w:rPr>
                <w:b/>
                <w:bCs/>
              </w:rPr>
              <w:t>Jun 2024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9EF8B67" w14:textId="77777777" w:rsidR="00436766" w:rsidRPr="00436766" w:rsidRDefault="00436766" w:rsidP="00436766">
            <w:proofErr w:type="spellStart"/>
            <w:r w:rsidRPr="00436766">
              <w:t>Olomorasib</w:t>
            </w:r>
            <w:proofErr w:type="spellEnd"/>
            <w:r w:rsidRPr="00436766">
              <w:t xml:space="preserve"> + Keytruda (Merck/BI)</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5C3CF4E" w14:textId="77777777" w:rsidR="00436766" w:rsidRPr="00436766" w:rsidRDefault="00436766" w:rsidP="00436766">
            <w:r w:rsidRPr="00436766">
              <w:rPr>
                <w:b/>
                <w:bCs/>
              </w:rPr>
              <w:t>FDA Breakthrough Therapy Designation</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3F4917E" w14:textId="77777777" w:rsidR="00436766" w:rsidRPr="00436766" w:rsidRDefault="00436766" w:rsidP="00436766">
            <w:r w:rsidRPr="00436766">
              <w:t>Fast-tracks development for a combination targeting the KRAS G12C mutation, with a potential PDUFA date in 2026 [</w:t>
            </w:r>
            <w:hyperlink r:id="rId44" w:tgtFrame="_blank" w:history="1">
              <w:r w:rsidRPr="00436766">
                <w:rPr>
                  <w:rStyle w:val="Hyperlink"/>
                </w:rPr>
                <w:t>8</w:t>
              </w:r>
            </w:hyperlink>
            <w:r w:rsidRPr="00436766">
              <w:t>].</w:t>
            </w:r>
          </w:p>
        </w:tc>
      </w:tr>
      <w:tr w:rsidR="00436766" w:rsidRPr="00436766" w14:paraId="008D77AC"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3DF27F3" w14:textId="77777777" w:rsidR="00436766" w:rsidRPr="00436766" w:rsidRDefault="00436766" w:rsidP="00436766">
            <w:r w:rsidRPr="00436766">
              <w:rPr>
                <w:b/>
                <w:bCs/>
              </w:rPr>
              <w:t>Jul 2024</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30C6F44" w14:textId="77777777" w:rsidR="00436766" w:rsidRPr="00436766" w:rsidRDefault="00436766" w:rsidP="00436766">
            <w:r w:rsidRPr="00436766">
              <w:t xml:space="preserve">IBI363 </w:t>
            </w:r>
            <w:r w:rsidRPr="00436766">
              <w:lastRenderedPageBreak/>
              <w:t>(</w:t>
            </w:r>
            <w:proofErr w:type="spellStart"/>
            <w:r w:rsidRPr="00436766">
              <w:t>Innovent</w:t>
            </w:r>
            <w:proofErr w:type="spellEnd"/>
            <w:r w:rsidRPr="00436766">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F15634F" w14:textId="77777777" w:rsidR="00436766" w:rsidRPr="00436766" w:rsidRDefault="00436766" w:rsidP="00436766">
            <w:r w:rsidRPr="00436766">
              <w:rPr>
                <w:b/>
                <w:bCs/>
              </w:rPr>
              <w:lastRenderedPageBreak/>
              <w:t xml:space="preserve">FDA Fast-Track &amp; US IND </w:t>
            </w:r>
            <w:r w:rsidRPr="00436766">
              <w:rPr>
                <w:b/>
                <w:bCs/>
              </w:rPr>
              <w:lastRenderedPageBreak/>
              <w:t>Clearance</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28FC536" w14:textId="77777777" w:rsidR="00436766" w:rsidRPr="00436766" w:rsidRDefault="00436766" w:rsidP="00436766">
            <w:r w:rsidRPr="00436766">
              <w:lastRenderedPageBreak/>
              <w:t xml:space="preserve">First PD-1/IL-2α bispecific for </w:t>
            </w:r>
            <w:r w:rsidRPr="00436766">
              <w:lastRenderedPageBreak/>
              <w:t>squamous NSCLC enters pivotal studies, with a potential PDUFA in H1 2027, targeting a refractory segment [</w:t>
            </w:r>
            <w:hyperlink r:id="rId45" w:tgtFrame="_blank" w:history="1">
              <w:r w:rsidRPr="00436766">
                <w:rPr>
                  <w:rStyle w:val="Hyperlink"/>
                </w:rPr>
                <w:t>9</w:t>
              </w:r>
            </w:hyperlink>
            <w:r w:rsidRPr="00436766">
              <w:t>][</w:t>
            </w:r>
            <w:hyperlink r:id="rId46" w:tgtFrame="_blank" w:history="1">
              <w:r w:rsidRPr="00436766">
                <w:rPr>
                  <w:rStyle w:val="Hyperlink"/>
                </w:rPr>
                <w:t>10</w:t>
              </w:r>
            </w:hyperlink>
            <w:r w:rsidRPr="00436766">
              <w:t>].</w:t>
            </w:r>
          </w:p>
        </w:tc>
      </w:tr>
    </w:tbl>
    <w:p w14:paraId="4E34A6CC" w14:textId="77777777" w:rsidR="00436766" w:rsidRPr="00436766" w:rsidRDefault="00436766" w:rsidP="00436766">
      <w:pPr>
        <w:rPr>
          <w:b/>
          <w:bCs/>
        </w:rPr>
      </w:pPr>
      <w:r w:rsidRPr="00436766">
        <w:rPr>
          <w:b/>
          <w:bCs/>
        </w:rPr>
        <w:lastRenderedPageBreak/>
        <w:t>6. The Challenge of Immune Resistance</w:t>
      </w:r>
    </w:p>
    <w:p w14:paraId="54EFCB7B" w14:textId="77777777" w:rsidR="00436766" w:rsidRPr="00436766" w:rsidRDefault="00436766" w:rsidP="00436766">
      <w:r w:rsidRPr="00436766">
        <w:t>Despite the success of immunotherapy, a substantial portion of patients either do not respond (primary resistance) or relapse after an initial response (acquired resistance). Recent research has illuminated the complex biology underpinning this challenge [</w:t>
      </w:r>
      <w:hyperlink r:id="rId47" w:tgtFrame="_blank" w:history="1">
        <w:r w:rsidRPr="00436766">
          <w:rPr>
            <w:rStyle w:val="Hyperlink"/>
          </w:rPr>
          <w:t>11</w:t>
        </w:r>
      </w:hyperlink>
      <w:r w:rsidRPr="00436766">
        <w:t>].</w:t>
      </w:r>
    </w:p>
    <w:p w14:paraId="0E5E1E28" w14:textId="77777777" w:rsidR="00436766" w:rsidRPr="00436766" w:rsidRDefault="00436766" w:rsidP="00436766">
      <w:r w:rsidRPr="00436766">
        <w:rPr>
          <w:b/>
          <w:bCs/>
        </w:rPr>
        <w:t>Key Mechanisms of Immunotherapy Resistance in NSCLC</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35"/>
        <w:gridCol w:w="2597"/>
        <w:gridCol w:w="2250"/>
        <w:gridCol w:w="2693"/>
      </w:tblGrid>
      <w:tr w:rsidR="00436766" w:rsidRPr="00436766" w14:paraId="43A641E1"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BB78A4B" w14:textId="77777777" w:rsidR="00436766" w:rsidRPr="00436766" w:rsidRDefault="00436766" w:rsidP="00436766">
            <w:r w:rsidRPr="00436766">
              <w:t>Mechanism Category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5B414E10" w14:textId="77777777" w:rsidR="00436766" w:rsidRPr="00436766" w:rsidRDefault="00436766" w:rsidP="00436766">
            <w:r w:rsidRPr="00436766">
              <w:t>Specific Examples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35CAE73" w14:textId="77777777" w:rsidR="00436766" w:rsidRPr="00436766" w:rsidRDefault="00436766" w:rsidP="00436766">
            <w:r w:rsidRPr="00436766">
              <w:t>Implicated Biomarkers/Factors</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59D6E88" w14:textId="77777777" w:rsidR="00436766" w:rsidRPr="00436766" w:rsidRDefault="00436766" w:rsidP="00436766">
            <w:r w:rsidRPr="00436766">
              <w:t>Therapeutic Implication</w:t>
            </w:r>
          </w:p>
        </w:tc>
      </w:tr>
      <w:tr w:rsidR="00436766" w:rsidRPr="00436766" w14:paraId="4AE1D58F"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C3A32D9" w14:textId="77777777" w:rsidR="00436766" w:rsidRPr="00436766" w:rsidRDefault="00436766" w:rsidP="00436766">
            <w:r w:rsidRPr="00436766">
              <w:rPr>
                <w:b/>
                <w:bCs/>
              </w:rPr>
              <w:t>Tumor Intrinsic</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FBD8E11" w14:textId="77777777" w:rsidR="00436766" w:rsidRPr="00436766" w:rsidRDefault="00436766" w:rsidP="00436766">
            <w:r w:rsidRPr="00436766">
              <w:t>- Loss of antigen presentation (B2M mutations)</w:t>
            </w:r>
            <w:r w:rsidRPr="00436766">
              <w:br/>
              <w:t>- IFN-γ signaling pathway defects (JAK1/2 mutations)</w:t>
            </w:r>
            <w:r w:rsidRPr="00436766">
              <w:br/>
              <w:t>- Oncogenic signaling (EGFR, ALK)</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5FFF6D8" w14:textId="77777777" w:rsidR="00436766" w:rsidRPr="00436766" w:rsidRDefault="00436766" w:rsidP="00436766">
            <w:r w:rsidRPr="00436766">
              <w:t>TMB, MSI, STAT1/ETS1 signature [</w:t>
            </w:r>
            <w:hyperlink r:id="rId48" w:tgtFrame="_blank" w:history="1">
              <w:r w:rsidRPr="00436766">
                <w:rPr>
                  <w:rStyle w:val="Hyperlink"/>
                </w:rPr>
                <w:t>14</w:t>
              </w:r>
            </w:hyperlink>
            <w:r w:rsidRPr="00436766">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7ADA00D" w14:textId="77777777" w:rsidR="00436766" w:rsidRPr="00436766" w:rsidRDefault="00436766" w:rsidP="00436766">
            <w:r w:rsidRPr="00436766">
              <w:t>Need for combination with targeted therapies or agents that restore immune signaling.</w:t>
            </w:r>
          </w:p>
        </w:tc>
      </w:tr>
      <w:tr w:rsidR="00436766" w:rsidRPr="00436766" w14:paraId="217E59EA"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4CAA9B0" w14:textId="77777777" w:rsidR="00436766" w:rsidRPr="00436766" w:rsidRDefault="00436766" w:rsidP="00436766">
            <w:r w:rsidRPr="00436766">
              <w:rPr>
                <w:b/>
                <w:bCs/>
              </w:rPr>
              <w:t>TME - Cellular</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DDC9D80" w14:textId="77777777" w:rsidR="00436766" w:rsidRPr="00436766" w:rsidRDefault="00436766" w:rsidP="00436766">
            <w:r w:rsidRPr="00436766">
              <w:t>- Immunosuppressive cells (MDSCs, M2 Macrophages)</w:t>
            </w:r>
            <w:r w:rsidRPr="00436766">
              <w:br/>
              <w:t>- Cancer-Associated Fibroblasts (CAFs) creating physical barriers and secreting inhibitory factors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3932C2B" w14:textId="77777777" w:rsidR="00436766" w:rsidRPr="00436766" w:rsidRDefault="00436766" w:rsidP="00436766">
            <w:r w:rsidRPr="00436766">
              <w:t>CAF autophagy signatures [</w:t>
            </w:r>
            <w:hyperlink r:id="rId49" w:tgtFrame="_blank" w:history="1">
              <w:r w:rsidRPr="00436766">
                <w:rPr>
                  <w:rStyle w:val="Hyperlink"/>
                </w:rPr>
                <w:t>16</w:t>
              </w:r>
            </w:hyperlink>
            <w:r w:rsidRPr="00436766">
              <w:t>], IL-26/CX3CL1 [</w:t>
            </w:r>
            <w:hyperlink r:id="rId50" w:tgtFrame="_blank" w:history="1">
              <w:r w:rsidRPr="00436766">
                <w:rPr>
                  <w:rStyle w:val="Hyperlink"/>
                </w:rPr>
                <w:t>17</w:t>
              </w:r>
            </w:hyperlink>
            <w:r w:rsidRPr="00436766">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10121A0F" w14:textId="77777777" w:rsidR="00436766" w:rsidRPr="00436766" w:rsidRDefault="00436766" w:rsidP="00436766">
            <w:r w:rsidRPr="00436766">
              <w:t>Target the stroma with agents like CAF inhibitors (e.g., autophagy inhibitors) or cytokine-neutralizing antibodies.</w:t>
            </w:r>
          </w:p>
        </w:tc>
      </w:tr>
      <w:tr w:rsidR="00436766" w:rsidRPr="00436766" w14:paraId="64DB052B"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74C1CC9" w14:textId="77777777" w:rsidR="00436766" w:rsidRPr="00436766" w:rsidRDefault="00436766" w:rsidP="00436766">
            <w:r w:rsidRPr="00436766">
              <w:rPr>
                <w:b/>
                <w:bCs/>
              </w:rPr>
              <w:t>TME - Soluble Factors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DF8F608" w14:textId="77777777" w:rsidR="00436766" w:rsidRPr="00436766" w:rsidRDefault="00436766" w:rsidP="00436766">
            <w:r w:rsidRPr="00436766">
              <w:t>- Inhibitory cytokines (TGF-β, MDK, MIF)</w:t>
            </w:r>
            <w:r w:rsidRPr="00436766">
              <w:br/>
              <w:t xml:space="preserve">- T-cell exhaustion </w:t>
            </w:r>
            <w:r w:rsidRPr="00436766">
              <w:lastRenderedPageBreak/>
              <w:t>ligands (PD-L1, TIGIT, LAG-3)</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3034E6D" w14:textId="77777777" w:rsidR="00436766" w:rsidRPr="00436766" w:rsidRDefault="00436766" w:rsidP="00436766">
            <w:r w:rsidRPr="00436766">
              <w:lastRenderedPageBreak/>
              <w:t>Circulating PD-1+/TIGIT+ CD8 T-cells [</w:t>
            </w:r>
            <w:hyperlink r:id="rId51" w:tgtFrame="_blank" w:history="1">
              <w:r w:rsidRPr="00436766">
                <w:rPr>
                  <w:rStyle w:val="Hyperlink"/>
                </w:rPr>
                <w:t>13</w:t>
              </w:r>
            </w:hyperlink>
            <w:r w:rsidRPr="00436766">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0E463F1" w14:textId="77777777" w:rsidR="00436766" w:rsidRPr="00436766" w:rsidRDefault="00436766" w:rsidP="00436766">
            <w:r w:rsidRPr="00436766">
              <w:t xml:space="preserve">Combine checkpoint inhibitors with agents that block other </w:t>
            </w:r>
            <w:r w:rsidRPr="00436766">
              <w:lastRenderedPageBreak/>
              <w:t>immunosuppressive pathways (e.g., TGF-β inhibitors).</w:t>
            </w:r>
          </w:p>
        </w:tc>
      </w:tr>
      <w:tr w:rsidR="00436766" w:rsidRPr="00436766" w14:paraId="68838B37"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1621CAF" w14:textId="77777777" w:rsidR="00436766" w:rsidRPr="00436766" w:rsidRDefault="00436766" w:rsidP="00436766">
            <w:r w:rsidRPr="00436766">
              <w:rPr>
                <w:b/>
                <w:bCs/>
              </w:rPr>
              <w:lastRenderedPageBreak/>
              <w:t>Metabolic Reprogramming</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BF34C26" w14:textId="77777777" w:rsidR="00436766" w:rsidRPr="00436766" w:rsidRDefault="00436766" w:rsidP="00436766">
            <w:r w:rsidRPr="00436766">
              <w:t>- Lactate accumulation leading to an acidic TME</w:t>
            </w:r>
            <w:r w:rsidRPr="00436766">
              <w:br/>
              <w:t>- "</w:t>
            </w:r>
            <w:proofErr w:type="spellStart"/>
            <w:r w:rsidRPr="00436766">
              <w:t>Lactylation</w:t>
            </w:r>
            <w:proofErr w:type="spellEnd"/>
            <w:r w:rsidRPr="00436766">
              <w:t>" of immune cells causing dysfunction</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FBD4131" w14:textId="77777777" w:rsidR="00436766" w:rsidRPr="00436766" w:rsidRDefault="00436766" w:rsidP="00436766">
            <w:proofErr w:type="spellStart"/>
            <w:r w:rsidRPr="00436766">
              <w:t>Lactylation</w:t>
            </w:r>
            <w:proofErr w:type="spellEnd"/>
            <w:r w:rsidRPr="00436766">
              <w:t>-related gene signatures (LARRGs) [</w:t>
            </w:r>
            <w:hyperlink r:id="rId52" w:tgtFrame="_blank" w:history="1">
              <w:r w:rsidRPr="00436766">
                <w:rPr>
                  <w:rStyle w:val="Hyperlink"/>
                </w:rPr>
                <w:t>15</w:t>
              </w:r>
            </w:hyperlink>
            <w:r w:rsidRPr="00436766">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A7AEA83" w14:textId="77777777" w:rsidR="00436766" w:rsidRPr="00436766" w:rsidRDefault="00436766" w:rsidP="00436766">
            <w:r w:rsidRPr="00436766">
              <w:t>Explore combination with metabolic modulators to reverse immune exclusion and T-cell dysfunction.</w:t>
            </w:r>
          </w:p>
        </w:tc>
      </w:tr>
    </w:tbl>
    <w:p w14:paraId="19809ED7" w14:textId="77777777" w:rsidR="00436766" w:rsidRPr="00436766" w:rsidRDefault="00436766" w:rsidP="00436766">
      <w:r w:rsidRPr="00436766">
        <w:t>A 2025 meta-analysis found that adding platinum chemotherapy to a PD-1/L1 inhibitor in the first line increases the risk of acquired resistance at 12 months (RR 1.46), suggesting that universal chemo-IO combinations may not be optimal for all patients [</w:t>
      </w:r>
      <w:hyperlink r:id="rId53" w:tgtFrame="_blank" w:history="1">
        <w:r w:rsidRPr="00436766">
          <w:rPr>
            <w:rStyle w:val="Hyperlink"/>
          </w:rPr>
          <w:t>19</w:t>
        </w:r>
      </w:hyperlink>
      <w:r w:rsidRPr="00436766">
        <w:t>].</w:t>
      </w:r>
    </w:p>
    <w:p w14:paraId="765A5A1F" w14:textId="77777777" w:rsidR="00436766" w:rsidRPr="00436766" w:rsidRDefault="00436766" w:rsidP="00436766">
      <w:pPr>
        <w:rPr>
          <w:b/>
          <w:bCs/>
        </w:rPr>
      </w:pPr>
      <w:r w:rsidRPr="00436766">
        <w:rPr>
          <w:b/>
          <w:bCs/>
        </w:rPr>
        <w:t>7. Evolving Biomarker Strategies</w:t>
      </w:r>
    </w:p>
    <w:p w14:paraId="03404410" w14:textId="77777777" w:rsidR="00436766" w:rsidRPr="00436766" w:rsidRDefault="00436766" w:rsidP="00436766">
      <w:r w:rsidRPr="00436766">
        <w:t>The limitations of PD-L1 as a standalone predictive biomarker are well-established. The field is rapidly moving toward more sophisticated, multi-modal biomarker strategies to better select patients and monitor response.</w:t>
      </w:r>
    </w:p>
    <w:p w14:paraId="537FC366" w14:textId="77777777" w:rsidR="00436766" w:rsidRPr="00436766" w:rsidRDefault="00436766" w:rsidP="00436766">
      <w:r w:rsidRPr="00436766">
        <w:rPr>
          <w:b/>
          <w:bCs/>
        </w:rPr>
        <w:t>Investigational Biomarkers and Regulatory Context</w:t>
      </w:r>
    </w:p>
    <w:tbl>
      <w:tblPr>
        <w:tblW w:w="0" w:type="auto"/>
        <w:tblInd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0"/>
        <w:gridCol w:w="2620"/>
        <w:gridCol w:w="1885"/>
        <w:gridCol w:w="2510"/>
      </w:tblGrid>
      <w:tr w:rsidR="00436766" w:rsidRPr="00436766" w14:paraId="7787E8FB" w14:textId="77777777">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6777F2A0" w14:textId="77777777" w:rsidR="00436766" w:rsidRPr="00436766" w:rsidRDefault="00436766" w:rsidP="00436766">
            <w:r w:rsidRPr="00436766">
              <w:t>Biomarker Type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7FA3DB68" w14:textId="77777777" w:rsidR="00436766" w:rsidRPr="00436766" w:rsidRDefault="00436766" w:rsidP="00436766">
            <w:r w:rsidRPr="00436766">
              <w:t>Example</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C252B94" w14:textId="77777777" w:rsidR="00436766" w:rsidRPr="00436766" w:rsidRDefault="00436766" w:rsidP="00436766">
            <w:r w:rsidRPr="00436766">
              <w:t>Clinical Utility</w:t>
            </w:r>
          </w:p>
        </w:tc>
        <w:tc>
          <w:tcPr>
            <w:tcW w:w="0" w:type="auto"/>
            <w:tcBorders>
              <w:top w:val="single" w:sz="2" w:space="0" w:color="E5E7EB"/>
              <w:left w:val="single" w:sz="2" w:space="0" w:color="E5E7EB"/>
              <w:bottom w:val="single" w:sz="2" w:space="0" w:color="E5E7EB"/>
              <w:right w:val="single" w:sz="2" w:space="0" w:color="E5E7EB"/>
            </w:tcBorders>
            <w:shd w:val="clear" w:color="auto" w:fill="EEEEEE"/>
            <w:vAlign w:val="bottom"/>
            <w:hideMark/>
          </w:tcPr>
          <w:p w14:paraId="49059DEA" w14:textId="77777777" w:rsidR="00436766" w:rsidRPr="00436766" w:rsidRDefault="00436766" w:rsidP="00436766">
            <w:r w:rsidRPr="00436766">
              <w:t>Regulatory Perspective (FDA/EMA)</w:t>
            </w:r>
          </w:p>
        </w:tc>
      </w:tr>
      <w:tr w:rsidR="00436766" w:rsidRPr="00436766" w14:paraId="352A7BAB"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401D042" w14:textId="77777777" w:rsidR="00436766" w:rsidRPr="00436766" w:rsidRDefault="00436766" w:rsidP="00436766">
            <w:r w:rsidRPr="00436766">
              <w:rPr>
                <w:b/>
                <w:bCs/>
              </w:rPr>
              <w:t>Liquid Biopsy (ctDNA)</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449F3D2E" w14:textId="77777777" w:rsidR="00436766" w:rsidRPr="00436766" w:rsidRDefault="00436766" w:rsidP="00436766">
            <w:r w:rsidRPr="00436766">
              <w:t>- </w:t>
            </w:r>
            <w:r w:rsidRPr="00436766">
              <w:rPr>
                <w:b/>
                <w:bCs/>
              </w:rPr>
              <w:t>ctDNA dynamics:</w:t>
            </w:r>
            <w:r w:rsidRPr="00436766">
              <w:t> Rising levels herald resistance before radiographic progression [</w:t>
            </w:r>
            <w:hyperlink r:id="rId54" w:tgtFrame="_blank" w:history="1">
              <w:r w:rsidRPr="00436766">
                <w:rPr>
                  <w:rStyle w:val="Hyperlink"/>
                </w:rPr>
                <w:t>13</w:t>
              </w:r>
            </w:hyperlink>
            <w:r w:rsidRPr="00436766">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BFAF94F" w14:textId="77777777" w:rsidR="00436766" w:rsidRPr="00436766" w:rsidRDefault="00436766" w:rsidP="00436766">
            <w:r w:rsidRPr="00436766">
              <w:t>Non-invasive, real-time monitoring of treatment response and emerging resistance.</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63B1F3E" w14:textId="77777777" w:rsidR="00436766" w:rsidRPr="00436766" w:rsidRDefault="00436766" w:rsidP="00436766">
            <w:r w:rsidRPr="00436766">
              <w:t xml:space="preserve">FDA </w:t>
            </w:r>
            <w:proofErr w:type="gramStart"/>
            <w:r w:rsidRPr="00436766">
              <w:t>treats as</w:t>
            </w:r>
            <w:proofErr w:type="gramEnd"/>
            <w:r w:rsidRPr="00436766">
              <w:t xml:space="preserve"> "significant risk" IVDs if used for patient management, requiring an IDE. Both agencies support its use as an exploratory endpoint [</w:t>
            </w:r>
            <w:hyperlink r:id="rId55" w:tgtFrame="_blank" w:history="1">
              <w:r w:rsidRPr="00436766">
                <w:rPr>
                  <w:rStyle w:val="Hyperlink"/>
                </w:rPr>
                <w:t>21</w:t>
              </w:r>
            </w:hyperlink>
            <w:r w:rsidRPr="00436766">
              <w:t>].</w:t>
            </w:r>
          </w:p>
        </w:tc>
      </w:tr>
      <w:tr w:rsidR="00436766" w:rsidRPr="00436766" w14:paraId="3BFCC5C0"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9D72969" w14:textId="77777777" w:rsidR="00436766" w:rsidRPr="00436766" w:rsidRDefault="00436766" w:rsidP="00436766">
            <w:r w:rsidRPr="00436766">
              <w:rPr>
                <w:b/>
                <w:bCs/>
              </w:rPr>
              <w:t>Liquid Biopsy (EVs)</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E5C7644" w14:textId="77777777" w:rsidR="00436766" w:rsidRPr="00436766" w:rsidRDefault="00436766" w:rsidP="00436766">
            <w:r w:rsidRPr="00436766">
              <w:t>- </w:t>
            </w:r>
            <w:r w:rsidRPr="00436766">
              <w:rPr>
                <w:b/>
                <w:bCs/>
              </w:rPr>
              <w:t>circ_PPAPDC1A:</w:t>
            </w:r>
            <w:r w:rsidRPr="00436766">
              <w:t xml:space="preserve"> An extracellular vesicle-derived circular RNA that predicts ICI resistance with high accuracy </w:t>
            </w:r>
            <w:r w:rsidRPr="00436766">
              <w:lastRenderedPageBreak/>
              <w:t>(AUC=0.98) [</w:t>
            </w:r>
            <w:hyperlink r:id="rId56" w:tgtFrame="_blank" w:history="1">
              <w:r w:rsidRPr="00436766">
                <w:rPr>
                  <w:rStyle w:val="Hyperlink"/>
                </w:rPr>
                <w:t>12</w:t>
              </w:r>
            </w:hyperlink>
            <w:r w:rsidRPr="00436766">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C31CF5F" w14:textId="77777777" w:rsidR="00436766" w:rsidRPr="00436766" w:rsidRDefault="00436766" w:rsidP="00436766">
            <w:r w:rsidRPr="00436766">
              <w:lastRenderedPageBreak/>
              <w:t xml:space="preserve">Potential predictive </w:t>
            </w:r>
            <w:proofErr w:type="gramStart"/>
            <w:r w:rsidRPr="00436766">
              <w:t>biomarker</w:t>
            </w:r>
            <w:proofErr w:type="gramEnd"/>
            <w:r w:rsidRPr="00436766">
              <w:t xml:space="preserve"> to identify non-</w:t>
            </w:r>
            <w:proofErr w:type="gramStart"/>
            <w:r w:rsidRPr="00436766">
              <w:t>responders</w:t>
            </w:r>
            <w:proofErr w:type="gramEnd"/>
            <w:r w:rsidRPr="00436766">
              <w:t xml:space="preserve"> pre-</w:t>
            </w:r>
            <w:r w:rsidRPr="00436766">
              <w:lastRenderedPageBreak/>
              <w:t>treatment.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DED199E" w14:textId="77777777" w:rsidR="00436766" w:rsidRPr="00436766" w:rsidRDefault="00436766" w:rsidP="00436766">
            <w:r w:rsidRPr="00436766">
              <w:lastRenderedPageBreak/>
              <w:t xml:space="preserve">Requires rigorous analytical and clinical validation under the FDA's Biomarker Qualification Program </w:t>
            </w:r>
            <w:r w:rsidRPr="00436766">
              <w:lastRenderedPageBreak/>
              <w:t>or EMA's scientific advice procedures [</w:t>
            </w:r>
            <w:hyperlink r:id="rId57" w:tgtFrame="_blank" w:history="1">
              <w:r w:rsidRPr="00436766">
                <w:rPr>
                  <w:rStyle w:val="Hyperlink"/>
                </w:rPr>
                <w:t>20</w:t>
              </w:r>
            </w:hyperlink>
            <w:r w:rsidRPr="00436766">
              <w:t>][</w:t>
            </w:r>
            <w:hyperlink r:id="rId58" w:tgtFrame="_blank" w:history="1">
              <w:r w:rsidRPr="00436766">
                <w:rPr>
                  <w:rStyle w:val="Hyperlink"/>
                </w:rPr>
                <w:t>23</w:t>
              </w:r>
            </w:hyperlink>
            <w:r w:rsidRPr="00436766">
              <w:t>].</w:t>
            </w:r>
          </w:p>
        </w:tc>
      </w:tr>
      <w:tr w:rsidR="00436766" w:rsidRPr="00436766" w14:paraId="4B590704"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6B3B1A42" w14:textId="77777777" w:rsidR="00436766" w:rsidRPr="00436766" w:rsidRDefault="00436766" w:rsidP="00436766">
            <w:r w:rsidRPr="00436766">
              <w:rPr>
                <w:b/>
                <w:bCs/>
              </w:rPr>
              <w:lastRenderedPageBreak/>
              <w:t>Immune Cell Phenotyping</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556B4911" w14:textId="77777777" w:rsidR="00436766" w:rsidRPr="00436766" w:rsidRDefault="00436766" w:rsidP="00436766">
            <w:r w:rsidRPr="00436766">
              <w:t>- </w:t>
            </w:r>
            <w:r w:rsidRPr="00436766">
              <w:rPr>
                <w:b/>
                <w:bCs/>
              </w:rPr>
              <w:t>Circulating T-cell subsets:</w:t>
            </w:r>
            <w:r w:rsidRPr="00436766">
              <w:t> High baseline PD-1+/TIGIT+ CD8 T-cells are associated with durable response [</w:t>
            </w:r>
            <w:hyperlink r:id="rId59" w:tgtFrame="_blank" w:history="1">
              <w:r w:rsidRPr="00436766">
                <w:rPr>
                  <w:rStyle w:val="Hyperlink"/>
                </w:rPr>
                <w:t>13</w:t>
              </w:r>
            </w:hyperlink>
            <w:r w:rsidRPr="00436766">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FDEEB05" w14:textId="77777777" w:rsidR="00436766" w:rsidRPr="00436766" w:rsidRDefault="00436766" w:rsidP="00436766">
            <w:r w:rsidRPr="00436766">
              <w:t>Distinguishes between progenitor-exhausted T-cells (favorable) and terminally exhausted cells (unfavorable).</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5EACA1F" w14:textId="77777777" w:rsidR="00436766" w:rsidRPr="00436766" w:rsidRDefault="00436766" w:rsidP="00436766">
            <w:r w:rsidRPr="00436766">
              <w:t>Can be incorporated into trials as an exploratory or secondary endpoint. Qualification would require extensive validation [</w:t>
            </w:r>
            <w:hyperlink r:id="rId60" w:tgtFrame="_blank" w:history="1">
              <w:r w:rsidRPr="00436766">
                <w:rPr>
                  <w:rStyle w:val="Hyperlink"/>
                </w:rPr>
                <w:t>21</w:t>
              </w:r>
            </w:hyperlink>
            <w:r w:rsidRPr="00436766">
              <w:t>].</w:t>
            </w:r>
          </w:p>
        </w:tc>
      </w:tr>
      <w:tr w:rsidR="00436766" w:rsidRPr="00436766" w14:paraId="1E608841" w14:textId="77777777">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316EF2C1" w14:textId="77777777" w:rsidR="00436766" w:rsidRPr="00436766" w:rsidRDefault="00436766" w:rsidP="00436766">
            <w:r w:rsidRPr="00436766">
              <w:rPr>
                <w:b/>
                <w:bCs/>
              </w:rPr>
              <w:t>Composite/Multiplex</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0863A8D6" w14:textId="77777777" w:rsidR="00436766" w:rsidRPr="00436766" w:rsidRDefault="00436766" w:rsidP="00436766">
            <w:r w:rsidRPr="00436766">
              <w:t>- </w:t>
            </w:r>
            <w:r w:rsidRPr="00436766">
              <w:rPr>
                <w:b/>
                <w:bCs/>
              </w:rPr>
              <w:t>PD-L1 + TMB + Gene Signature:</w:t>
            </w:r>
            <w:r w:rsidRPr="00436766">
              <w:t> Combining multiple analytes to create a more robust predictive score.</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7250E198" w14:textId="77777777" w:rsidR="00436766" w:rsidRPr="00436766" w:rsidRDefault="00436766" w:rsidP="00436766">
            <w:r w:rsidRPr="00436766">
              <w:t>Acknowledges the multifactorial nature of immune response and resistance [</w:t>
            </w:r>
            <w:hyperlink r:id="rId61" w:tgtFrame="_blank" w:history="1">
              <w:r w:rsidRPr="00436766">
                <w:rPr>
                  <w:rStyle w:val="Hyperlink"/>
                </w:rPr>
                <w:t>11</w:t>
              </w:r>
            </w:hyperlink>
            <w:r w:rsidRPr="00436766">
              <w:t>].</w:t>
            </w:r>
          </w:p>
        </w:tc>
        <w:tc>
          <w:tcPr>
            <w:tcW w:w="0" w:type="auto"/>
            <w:tcBorders>
              <w:top w:val="single" w:sz="2" w:space="0" w:color="E5E7EB"/>
              <w:left w:val="single" w:sz="2" w:space="0" w:color="E5E7EB"/>
              <w:bottom w:val="single" w:sz="2" w:space="0" w:color="E5E7EB"/>
              <w:right w:val="single" w:sz="2" w:space="0" w:color="E5E7EB"/>
            </w:tcBorders>
            <w:shd w:val="clear" w:color="auto" w:fill="FFFFFF"/>
            <w:vAlign w:val="center"/>
            <w:hideMark/>
          </w:tcPr>
          <w:p w14:paraId="23EB8BD7" w14:textId="77777777" w:rsidR="00436766" w:rsidRPr="00436766" w:rsidRDefault="00436766" w:rsidP="00436766">
            <w:r w:rsidRPr="00436766">
              <w:t>FDA and EMA are encouraging the development of composite biomarkers and have pathways for co-development of companion diagnostics (</w:t>
            </w:r>
            <w:proofErr w:type="spellStart"/>
            <w:r w:rsidRPr="00436766">
              <w:t>CDx</w:t>
            </w:r>
            <w:proofErr w:type="spellEnd"/>
            <w:r w:rsidRPr="00436766">
              <w:t>) [</w:t>
            </w:r>
            <w:hyperlink r:id="rId62" w:tgtFrame="_blank" w:history="1">
              <w:r w:rsidRPr="00436766">
                <w:rPr>
                  <w:rStyle w:val="Hyperlink"/>
                </w:rPr>
                <w:t>20</w:t>
              </w:r>
            </w:hyperlink>
            <w:r w:rsidRPr="00436766">
              <w:t>][</w:t>
            </w:r>
            <w:hyperlink r:id="rId63" w:tgtFrame="_blank" w:history="1">
              <w:r w:rsidRPr="00436766">
                <w:rPr>
                  <w:rStyle w:val="Hyperlink"/>
                </w:rPr>
                <w:t>22</w:t>
              </w:r>
            </w:hyperlink>
            <w:r w:rsidRPr="00436766">
              <w:t>][</w:t>
            </w:r>
            <w:hyperlink r:id="rId64" w:tgtFrame="_blank" w:history="1">
              <w:r w:rsidRPr="00436766">
                <w:rPr>
                  <w:rStyle w:val="Hyperlink"/>
                </w:rPr>
                <w:t>23</w:t>
              </w:r>
            </w:hyperlink>
            <w:r w:rsidRPr="00436766">
              <w:t>].</w:t>
            </w:r>
          </w:p>
        </w:tc>
      </w:tr>
    </w:tbl>
    <w:p w14:paraId="7857F496" w14:textId="77777777" w:rsidR="00436766" w:rsidRPr="00436766" w:rsidRDefault="00436766" w:rsidP="00436766">
      <w:r w:rsidRPr="00436766">
        <w:t>Both the FDA and EMA emphasize the need for early engagement on biomarker validation plans, robust analytical validation, and prospective clinical utility data from pivotal trials [</w:t>
      </w:r>
      <w:hyperlink r:id="rId65" w:tgtFrame="_blank" w:history="1">
        <w:r w:rsidRPr="00436766">
          <w:rPr>
            <w:rStyle w:val="Hyperlink"/>
          </w:rPr>
          <w:t>21</w:t>
        </w:r>
      </w:hyperlink>
      <w:r w:rsidRPr="00436766">
        <w:t>][</w:t>
      </w:r>
      <w:hyperlink r:id="rId66" w:tgtFrame="_blank" w:history="1">
        <w:r w:rsidRPr="00436766">
          <w:rPr>
            <w:rStyle w:val="Hyperlink"/>
          </w:rPr>
          <w:t>23</w:t>
        </w:r>
      </w:hyperlink>
      <w:r w:rsidRPr="00436766">
        <w:t>].</w:t>
      </w:r>
    </w:p>
    <w:p w14:paraId="614F0990" w14:textId="77777777" w:rsidR="00436766" w:rsidRPr="00436766" w:rsidRDefault="00436766" w:rsidP="00436766">
      <w:pPr>
        <w:rPr>
          <w:b/>
          <w:bCs/>
        </w:rPr>
      </w:pPr>
      <w:r w:rsidRPr="00436766">
        <w:rPr>
          <w:b/>
          <w:bCs/>
        </w:rPr>
        <w:t>8. Strategic Recommendations for R&amp;D</w:t>
      </w:r>
    </w:p>
    <w:p w14:paraId="302EC8E2" w14:textId="77777777" w:rsidR="00436766" w:rsidRPr="00436766" w:rsidRDefault="00436766" w:rsidP="00436766">
      <w:r w:rsidRPr="00436766">
        <w:t>Based on this analysis, we recommend the following strategic pivots to optimize our R&amp;D portfolio in lung cancer immunotherapy:</w:t>
      </w:r>
    </w:p>
    <w:p w14:paraId="0DDD4B57" w14:textId="77777777" w:rsidR="00436766" w:rsidRPr="00436766" w:rsidRDefault="00436766" w:rsidP="00436766">
      <w:pPr>
        <w:numPr>
          <w:ilvl w:val="0"/>
          <w:numId w:val="6"/>
        </w:numPr>
      </w:pPr>
      <w:r w:rsidRPr="00436766">
        <w:rPr>
          <w:b/>
          <w:bCs/>
        </w:rPr>
        <w:t>Focus on Precision Immuno-Oncology:</w:t>
      </w:r>
      <w:r w:rsidRPr="00436766">
        <w:t xml:space="preserve"> De-prioritize "me-too" checkpoint inhibitors for broad populations. Instead, focus R&amp;D on assets targeting molecularly defined segments (e.g., specific EGFR or KRAS mutations) where the biological rationale is strong and the path to approval may be accelerated. The success of </w:t>
      </w:r>
      <w:proofErr w:type="spellStart"/>
      <w:r w:rsidRPr="00436766">
        <w:t>amivantamab</w:t>
      </w:r>
      <w:proofErr w:type="spellEnd"/>
      <w:r w:rsidRPr="00436766">
        <w:t xml:space="preserve"> provides a clear blueprint [</w:t>
      </w:r>
      <w:hyperlink r:id="rId67" w:tgtFrame="_blank" w:history="1">
        <w:r w:rsidRPr="00436766">
          <w:rPr>
            <w:rStyle w:val="Hyperlink"/>
          </w:rPr>
          <w:t>1</w:t>
        </w:r>
      </w:hyperlink>
      <w:r w:rsidRPr="00436766">
        <w:t>].</w:t>
      </w:r>
    </w:p>
    <w:p w14:paraId="7D9FF5C9" w14:textId="77777777" w:rsidR="00436766" w:rsidRPr="00436766" w:rsidRDefault="00436766" w:rsidP="00436766">
      <w:pPr>
        <w:numPr>
          <w:ilvl w:val="0"/>
          <w:numId w:val="6"/>
        </w:numPr>
      </w:pPr>
      <w:r w:rsidRPr="00436766">
        <w:rPr>
          <w:b/>
          <w:bCs/>
        </w:rPr>
        <w:t xml:space="preserve">Invest in High-Growth Platforms (ADCs &amp; </w:t>
      </w:r>
      <w:proofErr w:type="spellStart"/>
      <w:r w:rsidRPr="00436766">
        <w:rPr>
          <w:b/>
          <w:bCs/>
        </w:rPr>
        <w:t>Bispecifics</w:t>
      </w:r>
      <w:proofErr w:type="spellEnd"/>
      <w:r w:rsidRPr="00436766">
        <w:rPr>
          <w:b/>
          <w:bCs/>
        </w:rPr>
        <w:t>):</w:t>
      </w:r>
      <w:r w:rsidRPr="00436766">
        <w:t xml:space="preserve"> The clinical and commercial potential of ADCs (especially TROP2-targeted) and bispecific </w:t>
      </w:r>
      <w:r w:rsidRPr="00436766">
        <w:lastRenderedPageBreak/>
        <w:t>antibodies is undeniable. We should aggressively pursue internal development and external licensing opportunities for these modalities. Their ability to deliver potent payloads or engage multiple pathways simultaneously addresses key limitations of single-agent checkpoint blockade.</w:t>
      </w:r>
    </w:p>
    <w:p w14:paraId="7CA50E29" w14:textId="77777777" w:rsidR="00436766" w:rsidRPr="00436766" w:rsidRDefault="00436766" w:rsidP="00436766">
      <w:pPr>
        <w:numPr>
          <w:ilvl w:val="0"/>
          <w:numId w:val="6"/>
        </w:numPr>
      </w:pPr>
      <w:r w:rsidRPr="00436766">
        <w:rPr>
          <w:b/>
          <w:bCs/>
        </w:rPr>
        <w:t>Re-evaluate Novel Checkpoint Inhibitor Programs:</w:t>
      </w:r>
      <w:r w:rsidRPr="00436766">
        <w:t> Given the repeated Phase III failures in the TIGIT class [</w:t>
      </w:r>
      <w:hyperlink r:id="rId68" w:tgtFrame="_blank" w:history="1">
        <w:r w:rsidRPr="00436766">
          <w:rPr>
            <w:rStyle w:val="Hyperlink"/>
          </w:rPr>
          <w:t>1</w:t>
        </w:r>
      </w:hyperlink>
      <w:r w:rsidRPr="00436766">
        <w:t>], all internal and partnered programs targeting this pathway must be critically re-evaluated. Future investment should be contingent on a highly differentiated mechanism or a robust, validated biomarker strategy that can identify a responsive subpopulation.</w:t>
      </w:r>
    </w:p>
    <w:p w14:paraId="631D3BB2" w14:textId="77777777" w:rsidR="00436766" w:rsidRPr="00436766" w:rsidRDefault="00436766" w:rsidP="00436766">
      <w:pPr>
        <w:numPr>
          <w:ilvl w:val="0"/>
          <w:numId w:val="6"/>
        </w:numPr>
      </w:pPr>
      <w:r w:rsidRPr="00436766">
        <w:rPr>
          <w:b/>
          <w:bCs/>
        </w:rPr>
        <w:t>Design Trials to Overcome Resistance:</w:t>
      </w:r>
      <w:r w:rsidRPr="00436766">
        <w:t> Future clinical trial designs should proactively address immune resistance. This includes:</w:t>
      </w:r>
    </w:p>
    <w:p w14:paraId="7387FECB" w14:textId="77777777" w:rsidR="00436766" w:rsidRPr="00436766" w:rsidRDefault="00436766" w:rsidP="00436766">
      <w:pPr>
        <w:numPr>
          <w:ilvl w:val="1"/>
          <w:numId w:val="6"/>
        </w:numPr>
      </w:pPr>
      <w:r w:rsidRPr="00436766">
        <w:rPr>
          <w:b/>
          <w:bCs/>
        </w:rPr>
        <w:t>Rational Combinations:</w:t>
      </w:r>
      <w:r w:rsidRPr="00436766">
        <w:t> Pair novel agents with established backbones (PD-1/L1 inhibitors) but also explore novel-novel combinations targeting the TME (e.g., CAF or metabolic inhibitors) based on preclinical data [</w:t>
      </w:r>
      <w:hyperlink r:id="rId69" w:tgtFrame="_blank" w:history="1">
        <w:r w:rsidRPr="00436766">
          <w:rPr>
            <w:rStyle w:val="Hyperlink"/>
          </w:rPr>
          <w:t>16</w:t>
        </w:r>
      </w:hyperlink>
      <w:r w:rsidRPr="00436766">
        <w:t>].</w:t>
      </w:r>
    </w:p>
    <w:p w14:paraId="43469780" w14:textId="77777777" w:rsidR="00436766" w:rsidRPr="00436766" w:rsidRDefault="00436766" w:rsidP="00436766">
      <w:pPr>
        <w:numPr>
          <w:ilvl w:val="1"/>
          <w:numId w:val="6"/>
        </w:numPr>
      </w:pPr>
      <w:r w:rsidRPr="00436766">
        <w:rPr>
          <w:b/>
          <w:bCs/>
        </w:rPr>
        <w:t>Sequencing and Relapse Settings:</w:t>
      </w:r>
      <w:r w:rsidRPr="00436766">
        <w:t> Design studies specifically for the large and growing population of patients who have relapsed on first-line immunotherapy.</w:t>
      </w:r>
    </w:p>
    <w:p w14:paraId="062ED6C1" w14:textId="77777777" w:rsidR="00436766" w:rsidRPr="00436766" w:rsidRDefault="00436766" w:rsidP="00436766">
      <w:pPr>
        <w:numPr>
          <w:ilvl w:val="0"/>
          <w:numId w:val="6"/>
        </w:numPr>
      </w:pPr>
      <w:r w:rsidRPr="00436766">
        <w:rPr>
          <w:b/>
          <w:bCs/>
        </w:rPr>
        <w:t>Embed a World-Class Biomarker Strategy:</w:t>
      </w:r>
      <w:r w:rsidRPr="00436766">
        <w:t> Make biomarker development a core, parallel workstream for every clinical program.</w:t>
      </w:r>
    </w:p>
    <w:p w14:paraId="4DF16801" w14:textId="77777777" w:rsidR="00436766" w:rsidRPr="00436766" w:rsidRDefault="00436766" w:rsidP="00436766">
      <w:pPr>
        <w:numPr>
          <w:ilvl w:val="1"/>
          <w:numId w:val="6"/>
        </w:numPr>
      </w:pPr>
      <w:r w:rsidRPr="00436766">
        <w:rPr>
          <w:b/>
          <w:bCs/>
        </w:rPr>
        <w:t>Invest in Discovery:</w:t>
      </w:r>
      <w:r w:rsidRPr="00436766">
        <w:t> Utilize advanced platforms (single-cell transcriptomics, proteomics, liquid biopsy) to identify novel predictive and monitoring biomarkers [</w:t>
      </w:r>
      <w:hyperlink r:id="rId70" w:tgtFrame="_blank" w:history="1">
        <w:r w:rsidRPr="00436766">
          <w:rPr>
            <w:rStyle w:val="Hyperlink"/>
          </w:rPr>
          <w:t>14</w:t>
        </w:r>
      </w:hyperlink>
      <w:r w:rsidRPr="00436766">
        <w:t>].</w:t>
      </w:r>
    </w:p>
    <w:p w14:paraId="412FC98D" w14:textId="77777777" w:rsidR="00436766" w:rsidRPr="00436766" w:rsidRDefault="00436766" w:rsidP="00436766">
      <w:pPr>
        <w:numPr>
          <w:ilvl w:val="1"/>
          <w:numId w:val="6"/>
        </w:numPr>
      </w:pPr>
      <w:r w:rsidRPr="00436766">
        <w:rPr>
          <w:b/>
          <w:bCs/>
        </w:rPr>
        <w:t>Plan for Co-development:</w:t>
      </w:r>
      <w:r w:rsidRPr="00436766">
        <w:t> For any asset reliant on a biomarker, initiate a companion diagnostic (</w:t>
      </w:r>
      <w:proofErr w:type="spellStart"/>
      <w:r w:rsidRPr="00436766">
        <w:t>CDx</w:t>
      </w:r>
      <w:proofErr w:type="spellEnd"/>
      <w:r w:rsidRPr="00436766">
        <w:t>) development plan and engage with the FDA and EMA early and often to align on the validation pathway [</w:t>
      </w:r>
      <w:hyperlink r:id="rId71" w:tgtFrame="_blank" w:history="1">
        <w:r w:rsidRPr="00436766">
          <w:rPr>
            <w:rStyle w:val="Hyperlink"/>
          </w:rPr>
          <w:t>22</w:t>
        </w:r>
      </w:hyperlink>
      <w:r w:rsidRPr="00436766">
        <w:t>][</w:t>
      </w:r>
      <w:hyperlink r:id="rId72" w:tgtFrame="_blank" w:history="1">
        <w:r w:rsidRPr="00436766">
          <w:rPr>
            <w:rStyle w:val="Hyperlink"/>
          </w:rPr>
          <w:t>23</w:t>
        </w:r>
      </w:hyperlink>
      <w:r w:rsidRPr="00436766">
        <w:t>].</w:t>
      </w:r>
    </w:p>
    <w:p w14:paraId="5FBF2D1C" w14:textId="77777777" w:rsidR="003A3B68" w:rsidRDefault="003A3B68"/>
    <w:sectPr w:rsidR="003A3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A01B4"/>
    <w:multiLevelType w:val="multilevel"/>
    <w:tmpl w:val="EE4A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597E73"/>
    <w:multiLevelType w:val="multilevel"/>
    <w:tmpl w:val="8EAA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243B59"/>
    <w:multiLevelType w:val="multilevel"/>
    <w:tmpl w:val="F0C08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410A49"/>
    <w:multiLevelType w:val="multilevel"/>
    <w:tmpl w:val="96920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6F1101"/>
    <w:multiLevelType w:val="multilevel"/>
    <w:tmpl w:val="2AEC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C44D24"/>
    <w:multiLevelType w:val="multilevel"/>
    <w:tmpl w:val="2C763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3047934">
    <w:abstractNumId w:val="4"/>
  </w:num>
  <w:num w:numId="2" w16cid:durableId="291904507">
    <w:abstractNumId w:val="0"/>
  </w:num>
  <w:num w:numId="3" w16cid:durableId="1605068572">
    <w:abstractNumId w:val="3"/>
  </w:num>
  <w:num w:numId="4" w16cid:durableId="1812668280">
    <w:abstractNumId w:val="5"/>
  </w:num>
  <w:num w:numId="5" w16cid:durableId="766081003">
    <w:abstractNumId w:val="1"/>
  </w:num>
  <w:num w:numId="6" w16cid:durableId="2081825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6766"/>
    <w:rsid w:val="00013251"/>
    <w:rsid w:val="003A3B68"/>
    <w:rsid w:val="00436766"/>
    <w:rsid w:val="004B75D9"/>
    <w:rsid w:val="0061658F"/>
    <w:rsid w:val="0079600C"/>
    <w:rsid w:val="007A2032"/>
    <w:rsid w:val="009713E1"/>
    <w:rsid w:val="00C10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0E5C"/>
  <w15:chartTrackingRefBased/>
  <w15:docId w15:val="{E114D646-1A2A-4609-9970-11158ACE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7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7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7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7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7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7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7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7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7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7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7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7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7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7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7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7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7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766"/>
    <w:rPr>
      <w:rFonts w:eastAsiaTheme="majorEastAsia" w:cstheme="majorBidi"/>
      <w:color w:val="272727" w:themeColor="text1" w:themeTint="D8"/>
    </w:rPr>
  </w:style>
  <w:style w:type="paragraph" w:styleId="Title">
    <w:name w:val="Title"/>
    <w:basedOn w:val="Normal"/>
    <w:next w:val="Normal"/>
    <w:link w:val="TitleChar"/>
    <w:uiPriority w:val="10"/>
    <w:qFormat/>
    <w:rsid w:val="004367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7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7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766"/>
    <w:pPr>
      <w:spacing w:before="160"/>
      <w:jc w:val="center"/>
    </w:pPr>
    <w:rPr>
      <w:i/>
      <w:iCs/>
      <w:color w:val="404040" w:themeColor="text1" w:themeTint="BF"/>
    </w:rPr>
  </w:style>
  <w:style w:type="character" w:customStyle="1" w:styleId="QuoteChar">
    <w:name w:val="Quote Char"/>
    <w:basedOn w:val="DefaultParagraphFont"/>
    <w:link w:val="Quote"/>
    <w:uiPriority w:val="29"/>
    <w:rsid w:val="00436766"/>
    <w:rPr>
      <w:i/>
      <w:iCs/>
      <w:color w:val="404040" w:themeColor="text1" w:themeTint="BF"/>
    </w:rPr>
  </w:style>
  <w:style w:type="paragraph" w:styleId="ListParagraph">
    <w:name w:val="List Paragraph"/>
    <w:basedOn w:val="Normal"/>
    <w:uiPriority w:val="34"/>
    <w:qFormat/>
    <w:rsid w:val="00436766"/>
    <w:pPr>
      <w:ind w:left="720"/>
      <w:contextualSpacing/>
    </w:pPr>
  </w:style>
  <w:style w:type="character" w:styleId="IntenseEmphasis">
    <w:name w:val="Intense Emphasis"/>
    <w:basedOn w:val="DefaultParagraphFont"/>
    <w:uiPriority w:val="21"/>
    <w:qFormat/>
    <w:rsid w:val="00436766"/>
    <w:rPr>
      <w:i/>
      <w:iCs/>
      <w:color w:val="0F4761" w:themeColor="accent1" w:themeShade="BF"/>
    </w:rPr>
  </w:style>
  <w:style w:type="paragraph" w:styleId="IntenseQuote">
    <w:name w:val="Intense Quote"/>
    <w:basedOn w:val="Normal"/>
    <w:next w:val="Normal"/>
    <w:link w:val="IntenseQuoteChar"/>
    <w:uiPriority w:val="30"/>
    <w:qFormat/>
    <w:rsid w:val="004367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766"/>
    <w:rPr>
      <w:i/>
      <w:iCs/>
      <w:color w:val="0F4761" w:themeColor="accent1" w:themeShade="BF"/>
    </w:rPr>
  </w:style>
  <w:style w:type="character" w:styleId="IntenseReference">
    <w:name w:val="Intense Reference"/>
    <w:basedOn w:val="DefaultParagraphFont"/>
    <w:uiPriority w:val="32"/>
    <w:qFormat/>
    <w:rsid w:val="00436766"/>
    <w:rPr>
      <w:b/>
      <w:bCs/>
      <w:smallCaps/>
      <w:color w:val="0F4761" w:themeColor="accent1" w:themeShade="BF"/>
      <w:spacing w:val="5"/>
    </w:rPr>
  </w:style>
  <w:style w:type="character" w:styleId="Hyperlink">
    <w:name w:val="Hyperlink"/>
    <w:basedOn w:val="DefaultParagraphFont"/>
    <w:uiPriority w:val="99"/>
    <w:unhideWhenUsed/>
    <w:rsid w:val="00436766"/>
    <w:rPr>
      <w:color w:val="467886" w:themeColor="hyperlink"/>
      <w:u w:val="single"/>
    </w:rPr>
  </w:style>
  <w:style w:type="character" w:styleId="UnresolvedMention">
    <w:name w:val="Unresolved Mention"/>
    <w:basedOn w:val="DefaultParagraphFont"/>
    <w:uiPriority w:val="99"/>
    <w:semiHidden/>
    <w:unhideWhenUsed/>
    <w:rsid w:val="004367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oahai.co/tool/drug-compete/?search_param=%7B%22indication_name%22%3A%20%5B%22Adenosquamous%20cell%20lung%20cancer%22%2C%20%22Muscle%20tone%20abnormal%22%2C%20%22Non-small%20cell%20lung%20cancer%20stage%20IV%22%5D%2C%20%22drug_modality%22%3A%20%7B%22data%22%3A%20%5B%22Vaccine%22%2C%20%22Monoclonal%20Antibodies%22%2C%20%22Cell-based%20Therapies%22%5D%2C%20%22logic%22%3A%20%22or%22%7D%2C%20%22location%22%3A%20%5B%22USA%22%2C%20%22Germany%22%2C%20%22France%22%2C%20%22United%20Kingdom%22%5D%2C%20%22top_n%22%3A%201000%7D" TargetMode="External"/><Relationship Id="rId21" Type="http://schemas.openxmlformats.org/officeDocument/2006/relationships/hyperlink" Target="https://www.noahai.co/tool/clinical-result/?search_param=%7B%22indication_name%22%3A%20%5B%22Spinal%20muscular%20atrophy%22%2C%20%22Small-cell%20lung%20cancer%22%2C%20%22Non-small-cell%20lung%20cancer%22%5D%2C%20%22phase%22%3A%20%5B%22Preclinical%22%2C%20%22I%22%2C%20%22II%22%2C%20%22III%22%5D%2C%20%22drug_modality%22%3A%20%7B%22data%22%3A%20%5B%22Monoclonal%20Antibodies%22%2C%20%22Cell-based%20Therapies%22%2C%20%22Vaccine%22%5D%2C%20%22logic%22%3A%20%22or%22%7D%2C%20%22top_n%22%3A%20150%7D" TargetMode="External"/><Relationship Id="rId42" Type="http://schemas.openxmlformats.org/officeDocument/2006/relationships/hyperlink" Target="https://www.fda.gov/drugs/resources-information-approved-drugs/fda-approves-neoadjuvantadjuvant-nivolumab-resectable-non-small-cell-lung-cancer" TargetMode="External"/><Relationship Id="rId47" Type="http://schemas.openxmlformats.org/officeDocument/2006/relationships/hyperlink" Target="https://pubmed.ncbi.nlm.nih.gov/41009806" TargetMode="External"/><Relationship Id="rId63" Type="http://schemas.openxmlformats.org/officeDocument/2006/relationships/hyperlink" Target="https://www.fda.gov/medical-devices/in-vitro-diagnostics/list-cleared-or-approved-companion-diagnostic-devices-in-vitro-and-imaging-tools" TargetMode="External"/><Relationship Id="rId68" Type="http://schemas.openxmlformats.org/officeDocument/2006/relationships/hyperlink" Target="https://www.noahai.co/tool/clinical-result/?search_param=%7B%22indication_name%22%3A%20%5B%22Spinal%20muscular%20atrophy%22%2C%20%22Small-cell%20lung%20cancer%22%2C%20%22Non-small-cell%20lung%20cancer%22%5D%2C%20%22phase%22%3A%20%5B%22Preclinical%22%2C%20%22I%22%2C%20%22II%22%2C%20%22III%22%5D%2C%20%22drug_modality%22%3A%20%7B%22data%22%3A%20%5B%22Monoclonal%20Antibodies%22%2C%20%22Cell-based%20Therapies%22%2C%20%22Vaccine%22%5D%2C%20%22logic%22%3A%20%22or%22%7D%2C%20%22top_n%22%3A%20150%7D" TargetMode="External"/><Relationship Id="rId2" Type="http://schemas.openxmlformats.org/officeDocument/2006/relationships/styles" Target="styles.xml"/><Relationship Id="rId16" Type="http://schemas.openxmlformats.org/officeDocument/2006/relationships/hyperlink" Target="https://www.databridgemarketresearch.com/nucleus/europe-cancer-immunotherapy-market?srsltid=AfmBOooZuOyYukLFq0rH0uNzoFppLKYaCJVLWsjBw61aQpG31Vx0C9SL" TargetMode="External"/><Relationship Id="rId29" Type="http://schemas.openxmlformats.org/officeDocument/2006/relationships/hyperlink" Target="https://www.noahai.co/tool/clinical-result/?search_param=%7B%22indication_name%22%3A%20%5B%22Spinal%20muscular%20atrophy%22%2C%20%22Small-cell%20lung%20cancer%22%2C%20%22Non-small-cell%20lung%20cancer%22%5D%2C%20%22phase%22%3A%20%5B%22Preclinical%22%2C%20%22I%22%2C%20%22II%22%2C%20%22III%22%5D%2C%20%22drug_modality%22%3A%20%7B%22data%22%3A%20%5B%22Monoclonal%20Antibodies%22%2C%20%22Cell-based%20Therapies%22%2C%20%22Vaccine%22%5D%2C%20%22logic%22%3A%20%22or%22%7D%2C%20%22top_n%22%3A%20150%7D" TargetMode="External"/><Relationship Id="rId11" Type="http://schemas.openxmlformats.org/officeDocument/2006/relationships/hyperlink" Target="https://www.ema.europa.eu/en/news-and-events/publications/scientific-publications" TargetMode="External"/><Relationship Id="rId24" Type="http://schemas.openxmlformats.org/officeDocument/2006/relationships/hyperlink" Target="https://www.noahai.co/tool/clinical-result/?search_param=%7B%22indication_name%22%3A%20%5B%22Spinal%20muscular%20atrophy%22%2C%20%22Small-cell%20lung%20cancer%22%2C%20%22Non-small-cell%20lung%20cancer%22%5D%2C%20%22phase%22%3A%20%5B%22Preclinical%22%2C%20%22I%22%2C%20%22II%22%2C%20%22III%22%5D%2C%20%22drug_modality%22%3A%20%7B%22data%22%3A%20%5B%22Monoclonal%20Antibodies%22%2C%20%22Cell-based%20Therapies%22%2C%20%22Vaccine%22%5D%2C%20%22logic%22%3A%20%22or%22%7D%2C%20%22top_n%22%3A%20150%7D" TargetMode="External"/><Relationship Id="rId32" Type="http://schemas.openxmlformats.org/officeDocument/2006/relationships/hyperlink" Target="https://www.noahai.co/tool/clinical-result/?search_param=%7B%22indication_name%22%3A%20%5B%22Spinal%20muscular%20atrophy%22%2C%20%22Small-cell%20lung%20cancer%22%2C%20%22Non-small-cell%20lung%20cancer%22%5D%2C%20%22phase%22%3A%20%5B%22Preclinical%22%2C%20%22I%22%2C%20%22II%22%2C%20%22III%22%5D%2C%20%22drug_modality%22%3A%20%7B%22data%22%3A%20%5B%22Monoclonal%20Antibodies%22%2C%20%22Cell-based%20Therapies%22%2C%20%22Vaccine%22%5D%2C%20%22logic%22%3A%20%22or%22%7D%2C%20%22top_n%22%3A%20150%7D" TargetMode="External"/><Relationship Id="rId37" Type="http://schemas.openxmlformats.org/officeDocument/2006/relationships/hyperlink" Target="https://www.noahai.co/tool/drug-compete/?search_param=%7B%22indication_name%22%3A%20%5B%22Adenosquamous%20cell%20lung%20cancer%22%2C%20%22Muscle%20tone%20abnormal%22%2C%20%22Non-small%20cell%20lung%20cancer%20stage%20IV%22%5D%2C%20%22drug_modality%22%3A%20%7B%22data%22%3A%20%5B%22Vaccine%22%2C%20%22Monoclonal%20Antibodies%22%2C%20%22Cell-based%20Therapies%22%5D%2C%20%22logic%22%3A%20%22or%22%7D%2C%20%22location%22%3A%20%5B%22USA%22%2C%20%22Germany%22%2C%20%22France%22%2C%20%22United%20Kingdom%22%5D%2C%20%22top_n%22%3A%201000%7D" TargetMode="External"/><Relationship Id="rId40" Type="http://schemas.openxmlformats.org/officeDocument/2006/relationships/hyperlink" Target="https://www.noahai.co/tool/drug-compete/?search_param=%7B%22indication_name%22%3A%20%5B%22Adenosquamous%20cell%20lung%20cancer%22%2C%20%22Muscle%20tone%20abnormal%22%2C%20%22Non-small%20cell%20lung%20cancer%20stage%20IV%22%5D%2C%20%22drug_modality%22%3A%20%7B%22data%22%3A%20%5B%22Vaccine%22%2C%20%22Monoclonal%20Antibodies%22%2C%20%22Cell-based%20Therapies%22%5D%2C%20%22logic%22%3A%20%22or%22%7D%2C%20%22location%22%3A%20%5B%22USA%22%2C%20%22Germany%22%2C%20%22France%22%2C%20%22United%20Kingdom%22%5D%2C%20%22top_n%22%3A%201000%7D" TargetMode="External"/><Relationship Id="rId45" Type="http://schemas.openxmlformats.org/officeDocument/2006/relationships/hyperlink" Target="https://www.lungcancerstoday.com/post/fda-grants-fast-track-designation-to-ibi363-for-squamous-nsclc?uid=" TargetMode="External"/><Relationship Id="rId53" Type="http://schemas.openxmlformats.org/officeDocument/2006/relationships/hyperlink" Target="https://pubmed.ncbi.nlm.nih.gov/40969680" TargetMode="External"/><Relationship Id="rId58" Type="http://schemas.openxmlformats.org/officeDocument/2006/relationships/hyperlink" Target="https://www.ema.europa.eu/en/news-and-events/publications/scientific-publications" TargetMode="External"/><Relationship Id="rId66" Type="http://schemas.openxmlformats.org/officeDocument/2006/relationships/hyperlink" Target="https://www.ema.europa.eu/en/news-and-events/publications/scientific-publications" TargetMode="External"/><Relationship Id="rId74" Type="http://schemas.openxmlformats.org/officeDocument/2006/relationships/theme" Target="theme/theme1.xml"/><Relationship Id="rId5" Type="http://schemas.openxmlformats.org/officeDocument/2006/relationships/hyperlink" Target="https://www.novaoneadvisor.com/report/us-cancer-immunotherapy-market" TargetMode="External"/><Relationship Id="rId61" Type="http://schemas.openxmlformats.org/officeDocument/2006/relationships/hyperlink" Target="https://pubmed.ncbi.nlm.nih.gov/41009806" TargetMode="External"/><Relationship Id="rId19" Type="http://schemas.openxmlformats.org/officeDocument/2006/relationships/hyperlink" Target="https://www.novaoneadvisor.com/report/us-cancer-immunotherapy-market" TargetMode="External"/><Relationship Id="rId14" Type="http://schemas.openxmlformats.org/officeDocument/2006/relationships/hyperlink" Target="https://www.curetoday.com/view/fda-grants-breakthrough-therapy-to-olomorasib-in-lung-cancer-subset" TargetMode="External"/><Relationship Id="rId22" Type="http://schemas.openxmlformats.org/officeDocument/2006/relationships/hyperlink" Target="https://www.noahai.co/tool/clinical-result/?search_param=%7B%22indication_name%22%3A%20%5B%22Spinal%20muscular%20atrophy%22%2C%20%22Small-cell%20lung%20cancer%22%2C%20%22Non-small-cell%20lung%20cancer%22%5D%2C%20%22phase%22%3A%20%5B%22Preclinical%22%2C%20%22I%22%2C%20%22II%22%2C%20%22III%22%5D%2C%20%22drug_modality%22%3A%20%7B%22data%22%3A%20%5B%22Monoclonal%20Antibodies%22%2C%20%22Cell-based%20Therapies%22%2C%20%22Vaccine%22%5D%2C%20%22logic%22%3A%20%22or%22%7D%2C%20%22top_n%22%3A%20150%7D" TargetMode="External"/><Relationship Id="rId27" Type="http://schemas.openxmlformats.org/officeDocument/2006/relationships/hyperlink" Target="https://www.noahai.co/tool/drug-compete/?search_param=%7B%22indication_name%22%3A%20%5B%22Adenosquamous%20cell%20lung%20cancer%22%2C%20%22Muscle%20tone%20abnormal%22%2C%20%22Non-small%20cell%20lung%20cancer%20stage%20IV%22%5D%2C%20%22drug_modality%22%3A%20%7B%22data%22%3A%20%5B%22Vaccine%22%2C%20%22Monoclonal%20Antibodies%22%2C%20%22Cell-based%20Therapies%22%5D%2C%20%22logic%22%3A%20%22or%22%7D%2C%20%22location%22%3A%20%5B%22USA%22%2C%20%22Germany%22%2C%20%22France%22%2C%20%22United%20Kingdom%22%5D%2C%20%22top_n%22%3A%201000%7D" TargetMode="External"/><Relationship Id="rId30" Type="http://schemas.openxmlformats.org/officeDocument/2006/relationships/hyperlink" Target="https://www.targetedonc.com/view/fda-grants-accelerated-approval-to-dato-dxd-in-previously-treated-egfr-nsclc" TargetMode="External"/><Relationship Id="rId35" Type="http://schemas.openxmlformats.org/officeDocument/2006/relationships/hyperlink" Target="https://www.noahai.co/tool/clinical-result/?search_param=%7B%22indication_name%22%3A%20%5B%22Spinal%20muscular%20atrophy%22%2C%20%22Small-cell%20lung%20cancer%22%2C%20%22Non-small-cell%20lung%20cancer%22%5D%2C%20%22phase%22%3A%20%5B%22Preclinical%22%2C%20%22I%22%2C%20%22II%22%2C%20%22III%22%5D%2C%20%22drug_modality%22%3A%20%7B%22data%22%3A%20%5B%22Monoclonal%20Antibodies%22%2C%20%22Cell-based%20Therapies%22%2C%20%22Vaccine%22%5D%2C%20%22logic%22%3A%20%22or%22%7D%2C%20%22top_n%22%3A%20150%7D" TargetMode="External"/><Relationship Id="rId43" Type="http://schemas.openxmlformats.org/officeDocument/2006/relationships/hyperlink" Target="https://www.targetedonc.com/view/fda-grants-accelerated-approval-to-dato-dxd-in-previously-treated-egfr-nsclc" TargetMode="External"/><Relationship Id="rId48" Type="http://schemas.openxmlformats.org/officeDocument/2006/relationships/hyperlink" Target="https://pubmed.ncbi.nlm.nih.gov/40948762" TargetMode="External"/><Relationship Id="rId56" Type="http://schemas.openxmlformats.org/officeDocument/2006/relationships/hyperlink" Target="https://pubmed.ncbi.nlm.nih.gov/40968149" TargetMode="External"/><Relationship Id="rId64" Type="http://schemas.openxmlformats.org/officeDocument/2006/relationships/hyperlink" Target="https://www.ema.europa.eu/en/news-and-events/publications/scientific-publications" TargetMode="External"/><Relationship Id="rId69" Type="http://schemas.openxmlformats.org/officeDocument/2006/relationships/hyperlink" Target="https://pubmed.ncbi.nlm.nih.gov/40983344" TargetMode="External"/><Relationship Id="rId8" Type="http://schemas.openxmlformats.org/officeDocument/2006/relationships/hyperlink" Target="https://www.noahai.co/tool/drug-compete/?search_param=%7B%22indication_name%22%3A%20%5B%22Adenosquamous%20cell%20lung%20cancer%22%2C%20%22Muscle%20tone%20abnormal%22%2C%20%22Non-small%20cell%20lung%20cancer%20stage%20IV%22%5D%2C%20%22drug_modality%22%3A%20%7B%22data%22%3A%20%5B%22Vaccine%22%2C%20%22Monoclonal%20Antibodies%22%2C%20%22Cell-based%20Therapies%22%5D%2C%20%22logic%22%3A%20%22or%22%7D%2C%20%22location%22%3A%20%5B%22USA%22%2C%20%22Germany%22%2C%20%22France%22%2C%20%22United%20Kingdom%22%5D%2C%20%22top_n%22%3A%201000%7D" TargetMode="External"/><Relationship Id="rId51" Type="http://schemas.openxmlformats.org/officeDocument/2006/relationships/hyperlink" Target="https://pubmed.ncbi.nlm.nih.gov/40944710" TargetMode="External"/><Relationship Id="rId72" Type="http://schemas.openxmlformats.org/officeDocument/2006/relationships/hyperlink" Target="https://www.ema.europa.eu/en/news-and-events/publications/scientific-publications" TargetMode="External"/><Relationship Id="rId3" Type="http://schemas.openxmlformats.org/officeDocument/2006/relationships/settings" Target="settings.xml"/><Relationship Id="rId12" Type="http://schemas.openxmlformats.org/officeDocument/2006/relationships/hyperlink" Target="https://www.fda.gov/drugs/resources-information-approved-drugs/fda-approves-neoadjuvantadjuvant-nivolumab-resectable-non-small-cell-lung-cancer" TargetMode="External"/><Relationship Id="rId17" Type="http://schemas.openxmlformats.org/officeDocument/2006/relationships/hyperlink" Target="https://www.fda.gov/drugs/resources-information-approved-drugs/fda-approves-neoadjuvantadjuvant-nivolumab-resectable-non-small-cell-lung-cancer" TargetMode="External"/><Relationship Id="rId25" Type="http://schemas.openxmlformats.org/officeDocument/2006/relationships/hyperlink" Target="https://www.noahai.co/tool/drug-compete/?search_param=%7B%22indication_name%22%3A%20%5B%22Adenosquamous%20cell%20lung%20cancer%22%2C%20%22Muscle%20tone%20abnormal%22%2C%20%22Non-small%20cell%20lung%20cancer%20stage%20IV%22%5D%2C%20%22drug_modality%22%3A%20%7B%22data%22%3A%20%5B%22Vaccine%22%2C%20%22Monoclonal%20Antibodies%22%2C%20%22Cell-based%20Therapies%22%5D%2C%20%22logic%22%3A%20%22or%22%7D%2C%20%22location%22%3A%20%5B%22USA%22%2C%20%22Germany%22%2C%20%22France%22%2C%20%22United%20Kingdom%22%5D%2C%20%22top_n%22%3A%201000%7D" TargetMode="External"/><Relationship Id="rId33" Type="http://schemas.openxmlformats.org/officeDocument/2006/relationships/hyperlink" Target="https://www.noahai.co/tool/clinical-result/?search_param=%7B%22indication_name%22%3A%20%5B%22Spinal%20muscular%20atrophy%22%2C%20%22Small-cell%20lung%20cancer%22%2C%20%22Non-small-cell%20lung%20cancer%22%5D%2C%20%22phase%22%3A%20%5B%22Preclinical%22%2C%20%22I%22%2C%20%22II%22%2C%20%22III%22%5D%2C%20%22drug_modality%22%3A%20%7B%22data%22%3A%20%5B%22Monoclonal%20Antibodies%22%2C%20%22Cell-based%20Therapies%22%2C%20%22Vaccine%22%5D%2C%20%22logic%22%3A%20%22or%22%7D%2C%20%22top_n%22%3A%20150%7D" TargetMode="External"/><Relationship Id="rId38" Type="http://schemas.openxmlformats.org/officeDocument/2006/relationships/hyperlink" Target="https://www.targetedonc.com/view/fda-grants-accelerated-approval-to-dato-dxd-in-previously-treated-egfr-nsclc" TargetMode="External"/><Relationship Id="rId46" Type="http://schemas.openxmlformats.org/officeDocument/2006/relationships/hyperlink" Target="https://www.cancernetwork.com/view/fda-clears-ind-for-ibi363-in-squamous-non-small-cell-lung-cancer" TargetMode="External"/><Relationship Id="rId59" Type="http://schemas.openxmlformats.org/officeDocument/2006/relationships/hyperlink" Target="https://pubmed.ncbi.nlm.nih.gov/40944710" TargetMode="External"/><Relationship Id="rId67" Type="http://schemas.openxmlformats.org/officeDocument/2006/relationships/hyperlink" Target="https://www.noahai.co/tool/clinical-result/?search_param=%7B%22indication_name%22%3A%20%5B%22Spinal%20muscular%20atrophy%22%2C%20%22Small-cell%20lung%20cancer%22%2C%20%22Non-small-cell%20lung%20cancer%22%5D%2C%20%22phase%22%3A%20%5B%22Preclinical%22%2C%20%22I%22%2C%20%22II%22%2C%20%22III%22%5D%2C%20%22drug_modality%22%3A%20%7B%22data%22%3A%20%5B%22Monoclonal%20Antibodies%22%2C%20%22Cell-based%20Therapies%22%2C%20%22Vaccine%22%5D%2C%20%22logic%22%3A%20%22or%22%7D%2C%20%22top_n%22%3A%20150%7D" TargetMode="External"/><Relationship Id="rId20" Type="http://schemas.openxmlformats.org/officeDocument/2006/relationships/hyperlink" Target="https://www.noahai.co/tool/drug-compete/?search_param=%7B%22indication_name%22%3A%20%5B%22Adenosquamous%20cell%20lung%20cancer%22%2C%20%22Muscle%20tone%20abnormal%22%2C%20%22Non-small%20cell%20lung%20cancer%20stage%20IV%22%5D%2C%20%22drug_modality%22%3A%20%7B%22data%22%3A%20%5B%22Vaccine%22%2C%20%22Monoclonal%20Antibodies%22%2C%20%22Cell-based%20Therapies%22%5D%2C%20%22logic%22%3A%20%22or%22%7D%2C%20%22location%22%3A%20%5B%22USA%22%2C%20%22Germany%22%2C%20%22France%22%2C%20%22United%20Kingdom%22%5D%2C%20%22top_n%22%3A%201000%7D" TargetMode="External"/><Relationship Id="rId41" Type="http://schemas.openxmlformats.org/officeDocument/2006/relationships/hyperlink" Target="https://www.novaoneadvisor.com/report/us-cancer-immunotherapy-market" TargetMode="External"/><Relationship Id="rId54" Type="http://schemas.openxmlformats.org/officeDocument/2006/relationships/hyperlink" Target="https://pubmed.ncbi.nlm.nih.gov/40944710" TargetMode="External"/><Relationship Id="rId62" Type="http://schemas.openxmlformats.org/officeDocument/2006/relationships/hyperlink" Target="https://www.fda.gov/science-research/focus-areas-regulatory-science-report/focus-area-biomarkers" TargetMode="External"/><Relationship Id="rId70" Type="http://schemas.openxmlformats.org/officeDocument/2006/relationships/hyperlink" Target="https://pubmed.ncbi.nlm.nih.gov/40948762" TargetMode="External"/><Relationship Id="rId1" Type="http://schemas.openxmlformats.org/officeDocument/2006/relationships/numbering" Target="numbering.xml"/><Relationship Id="rId6" Type="http://schemas.openxmlformats.org/officeDocument/2006/relationships/hyperlink" Target="https://www.databridgemarketresearch.com/nucleus/europe-cancer-immunotherapy-market?srsltid=AfmBOooZuOyYukLFq0rH0uNzoFppLKYaCJVLWsjBw61aQpG31Vx0C9SL" TargetMode="External"/><Relationship Id="rId15" Type="http://schemas.openxmlformats.org/officeDocument/2006/relationships/hyperlink" Target="https://www.databridgemarketresearch.com/nucleus/europe-cancer-immunotherapy-market?srsltid=AfmBOooZuOyYukLFq0rH0uNzoFppLKYaCJVLWsjBw61aQpG31Vx0C9SL" TargetMode="External"/><Relationship Id="rId23" Type="http://schemas.openxmlformats.org/officeDocument/2006/relationships/hyperlink" Target="https://www.noahai.co/tool/drug-compete/?search_param=%7B%22indication_name%22%3A%20%5B%22Adenosquamous%20cell%20lung%20cancer%22%2C%20%22Muscle%20tone%20abnormal%22%2C%20%22Non-small%20cell%20lung%20cancer%20stage%20IV%22%5D%2C%20%22drug_modality%22%3A%20%7B%22data%22%3A%20%5B%22Vaccine%22%2C%20%22Monoclonal%20Antibodies%22%2C%20%22Cell-based%20Therapies%22%5D%2C%20%22logic%22%3A%20%22or%22%7D%2C%20%22location%22%3A%20%5B%22USA%22%2C%20%22Germany%22%2C%20%22France%22%2C%20%22United%20Kingdom%22%5D%2C%20%22top_n%22%3A%201000%7D" TargetMode="External"/><Relationship Id="rId28" Type="http://schemas.openxmlformats.org/officeDocument/2006/relationships/hyperlink" Target="https://www.noahai.co/tool/clinical-result/?search_param=%7B%22indication_name%22%3A%20%5B%22Spinal%20muscular%20atrophy%22%2C%20%22Small-cell%20lung%20cancer%22%2C%20%22Non-small-cell%20lung%20cancer%22%5D%2C%20%22phase%22%3A%20%5B%22Preclinical%22%2C%20%22I%22%2C%20%22II%22%2C%20%22III%22%5D%2C%20%22drug_modality%22%3A%20%7B%22data%22%3A%20%5B%22Monoclonal%20Antibodies%22%2C%20%22Cell-based%20Therapies%22%2C%20%22Vaccine%22%5D%2C%20%22logic%22%3A%20%22or%22%7D%2C%20%22top_n%22%3A%20150%7D" TargetMode="External"/><Relationship Id="rId36" Type="http://schemas.openxmlformats.org/officeDocument/2006/relationships/hyperlink" Target="https://www.noahai.co/tool/clinical-result/?search_param=%7B%22indication_name%22%3A%20%5B%22Spinal%20muscular%20atrophy%22%2C%20%22Small-cell%20lung%20cancer%22%2C%20%22Non-small-cell%20lung%20cancer%22%5D%2C%20%22phase%22%3A%20%5B%22Preclinical%22%2C%20%22I%22%2C%20%22II%22%2C%20%22III%22%5D%2C%20%22drug_modality%22%3A%20%7B%22data%22%3A%20%5B%22Monoclonal%20Antibodies%22%2C%20%22Cell-based%20Therapies%22%2C%20%22Vaccine%22%5D%2C%20%22logic%22%3A%20%22or%22%7D%2C%20%22top_n%22%3A%20150%7D" TargetMode="External"/><Relationship Id="rId49" Type="http://schemas.openxmlformats.org/officeDocument/2006/relationships/hyperlink" Target="https://pubmed.ncbi.nlm.nih.gov/40983344" TargetMode="External"/><Relationship Id="rId57" Type="http://schemas.openxmlformats.org/officeDocument/2006/relationships/hyperlink" Target="https://www.fda.gov/science-research/focus-areas-regulatory-science-report/focus-area-biomarkers" TargetMode="External"/><Relationship Id="rId10" Type="http://schemas.openxmlformats.org/officeDocument/2006/relationships/hyperlink" Target="https://www.fda.gov/science-research/focus-areas-regulatory-science-report/focus-area-biomarkers" TargetMode="External"/><Relationship Id="rId31" Type="http://schemas.openxmlformats.org/officeDocument/2006/relationships/hyperlink" Target="https://www.noahai.co/tool/clinical-result/?search_param=%7B%22indication_name%22%3A%20%5B%22Spinal%20muscular%20atrophy%22%2C%20%22Small-cell%20lung%20cancer%22%2C%20%22Non-small-cell%20lung%20cancer%22%5D%2C%20%22phase%22%3A%20%5B%22Preclinical%22%2C%20%22I%22%2C%20%22II%22%2C%20%22III%22%5D%2C%20%22drug_modality%22%3A%20%7B%22data%22%3A%20%5B%22Monoclonal%20Antibodies%22%2C%20%22Cell-based%20Therapies%22%2C%20%22Vaccine%22%5D%2C%20%22logic%22%3A%20%22or%22%7D%2C%20%22top_n%22%3A%20150%7D" TargetMode="External"/><Relationship Id="rId44" Type="http://schemas.openxmlformats.org/officeDocument/2006/relationships/hyperlink" Target="https://www.curetoday.com/view/fda-grants-breakthrough-therapy-to-olomorasib-in-lung-cancer-subset" TargetMode="External"/><Relationship Id="rId52" Type="http://schemas.openxmlformats.org/officeDocument/2006/relationships/hyperlink" Target="https://pubmed.ncbi.nlm.nih.gov/41026305" TargetMode="External"/><Relationship Id="rId60" Type="http://schemas.openxmlformats.org/officeDocument/2006/relationships/hyperlink" Target="https://www.ncbi.nlm.nih.gov/books/NBK605919/" TargetMode="External"/><Relationship Id="rId65" Type="http://schemas.openxmlformats.org/officeDocument/2006/relationships/hyperlink" Target="https://www.ncbi.nlm.nih.gov/books/NBK605919/"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41009806" TargetMode="External"/><Relationship Id="rId13" Type="http://schemas.openxmlformats.org/officeDocument/2006/relationships/hyperlink" Target="https://www.targetedonc.com/view/fda-grants-accelerated-approval-to-dato-dxd-in-previously-treated-egfr-nsclc" TargetMode="External"/><Relationship Id="rId18" Type="http://schemas.openxmlformats.org/officeDocument/2006/relationships/hyperlink" Target="https://www.lungevity.org/fda-approves-new-drug-indications-for-lung-cancer-treatments" TargetMode="External"/><Relationship Id="rId39" Type="http://schemas.openxmlformats.org/officeDocument/2006/relationships/hyperlink" Target="https://www.curetoday.com/view/fda-grants-breakthrough-therapy-to-olomorasib-in-lung-cancer-subset" TargetMode="External"/><Relationship Id="rId34" Type="http://schemas.openxmlformats.org/officeDocument/2006/relationships/hyperlink" Target="https://www.noahai.co/tool/clinical-result/?search_param=%7B%22indication_name%22%3A%20%5B%22Spinal%20muscular%20atrophy%22%2C%20%22Small-cell%20lung%20cancer%22%2C%20%22Non-small-cell%20lung%20cancer%22%5D%2C%20%22phase%22%3A%20%5B%22Preclinical%22%2C%20%22I%22%2C%20%22II%22%2C%20%22III%22%5D%2C%20%22drug_modality%22%3A%20%7B%22data%22%3A%20%5B%22Monoclonal%20Antibodies%22%2C%20%22Cell-based%20Therapies%22%2C%20%22Vaccine%22%5D%2C%20%22logic%22%3A%20%22or%22%7D%2C%20%22top_n%22%3A%20150%7D" TargetMode="External"/><Relationship Id="rId50" Type="http://schemas.openxmlformats.org/officeDocument/2006/relationships/hyperlink" Target="https://pubmed.ncbi.nlm.nih.gov/41029793" TargetMode="External"/><Relationship Id="rId55" Type="http://schemas.openxmlformats.org/officeDocument/2006/relationships/hyperlink" Target="https://www.ncbi.nlm.nih.gov/books/NBK605919/" TargetMode="External"/><Relationship Id="rId7" Type="http://schemas.openxmlformats.org/officeDocument/2006/relationships/hyperlink" Target="https://www.noahai.co/tool/clinical-result/?search_param=%7B%22indication_name%22%3A%20%5B%22Spinal%20muscular%20atrophy%22%2C%20%22Small-cell%20lung%20cancer%22%2C%20%22Non-small-cell%20lung%20cancer%22%5D%2C%20%22phase%22%3A%20%5B%22Preclinical%22%2C%20%22I%22%2C%20%22II%22%2C%20%22III%22%5D%2C%20%22drug_modality%22%3A%20%7B%22data%22%3A%20%5B%22Monoclonal%20Antibodies%22%2C%20%22Cell-based%20Therapies%22%2C%20%22Vaccine%22%5D%2C%20%22logic%22%3A%20%22or%22%7D%2C%20%22top_n%22%3A%20150%7D" TargetMode="External"/><Relationship Id="rId71" Type="http://schemas.openxmlformats.org/officeDocument/2006/relationships/hyperlink" Target="https://www.fda.gov/medical-devices/in-vitro-diagnostics/list-cleared-or-approved-companion-diagnostic-devices-in-vitro-and-imag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4525</Words>
  <Characters>29053</Characters>
  <Application>Microsoft Office Word</Application>
  <DocSecurity>0</DocSecurity>
  <Lines>1162</Lines>
  <Paragraphs>466</Paragraphs>
  <ScaleCrop>false</ScaleCrop>
  <Company/>
  <LinksUpToDate>false</LinksUpToDate>
  <CharactersWithSpaces>33112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Feng</dc:creator>
  <cp:keywords/>
  <dc:description/>
  <cp:lastModifiedBy>Di Feng</cp:lastModifiedBy>
  <cp:revision>2</cp:revision>
  <dcterms:created xsi:type="dcterms:W3CDTF">2025-10-02T02:11:00Z</dcterms:created>
  <dcterms:modified xsi:type="dcterms:W3CDTF">2025-10-02T02:12:00Z</dcterms:modified>
</cp:coreProperties>
</file>