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6007080078125" w:right="0" w:firstLine="0"/>
        <w:jc w:val="left"/>
        <w:rPr>
          <w:rFonts w:ascii="Petrona" w:cs="Petrona" w:eastAsia="Petrona" w:hAnsi="Petrona"/>
          <w:b w:val="1"/>
          <w:i w:val="0"/>
          <w:smallCaps w:val="0"/>
          <w:strike w:val="0"/>
          <w:color w:val="000000"/>
          <w:sz w:val="97.80000305175781"/>
          <w:szCs w:val="97.80000305175781"/>
          <w:u w:val="none"/>
          <w:shd w:fill="auto" w:val="clear"/>
          <w:vertAlign w:val="baseline"/>
        </w:rPr>
      </w:pPr>
      <w:r w:rsidDel="00000000" w:rsidR="00000000" w:rsidRPr="00000000">
        <w:rPr>
          <w:rFonts w:ascii="Petrona" w:cs="Petrona" w:eastAsia="Petrona" w:hAnsi="Petrona"/>
          <w:b w:val="1"/>
          <w:i w:val="0"/>
          <w:smallCaps w:val="0"/>
          <w:strike w:val="0"/>
          <w:color w:val="000000"/>
          <w:sz w:val="97.80000305175781"/>
          <w:szCs w:val="97.80000305175781"/>
          <w:u w:val="none"/>
          <w:shd w:fill="auto" w:val="clear"/>
          <w:vertAlign w:val="baseline"/>
          <w:rtl w:val="0"/>
        </w:rPr>
        <w:t xml:space="preserve">Cybercrimes continue forever….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738891601562" w:line="322.09333419799805" w:lineRule="auto"/>
        <w:ind w:left="10.260009765625" w:right="1238.19580078125" w:hanging="0.81001281738281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This document provides a comprehensive overview of various cybersecurity threats, exploring their methods, impact, and  real-world examples. From spyware attacks to quantum computing threats, we delve into the evolving landscape of  cybercrime and its implications for individuals, businesses, and society as a whole.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551391601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250976562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Spyware Attacks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6.4800262451171875" w:right="1622.57080078125" w:firstLine="6.210021972656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Spyware secretly collects information from a device without the user's knowledge. It operates in the background, often  without any noticeable signs of its presence. This type of attack can have serious consequences for individuals and  organizations alike.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6264648437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Keyloggers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35.76805114746094"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Adware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16.5399742126465" w:lineRule="auto"/>
        <w:ind w:left="9.180068969726562" w:right="1039.20654296875" w:firstLine="11.879959106445312"/>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Keyloggers are a type of spyware that records everything typed on a keyboard. This information can be used to steal  passwords, credit card numbers, and other sensitive data. Adware tracks browsing habits to display targeted ads, but it can  also collect personal information and sell it to third parties.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20269775390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75659179687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Man-in-the-Middle (MitM) Attacks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6387939453125" w:line="316.5399742126465" w:lineRule="auto"/>
        <w:ind w:left="18.090057373046875" w:right="1615.302734375" w:firstLine="2.9699707031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Man-in-the-Middle (MitM) attacks involve intercepting and altering communication between two parties without their  knowledge. Attackers position themselves between the sender and receiver, eavesdropping on their conversations and  potentially manipulating the data being exchanged.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0218505859375" w:line="240" w:lineRule="auto"/>
        <w:ind w:left="435.76805114746094"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Wi-Fi Eavesdropping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44.4080352783203"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Session Hijacking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22.09333419799805" w:lineRule="auto"/>
        <w:ind w:left="11.610031127929688" w:right="1520.615234375" w:hanging="7.5599670410156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Wi-Fi eavesdropping involves monitoring unencrypted data over a public Wi-Fi network. Attackers can easily intercept  sensitive information, such as login credentials and credit card details, if the connection is not secure. Session hijacking  involves taking over a session between a user and a web service, allowing attackers to access the user's account and  perform actions on their behalf.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551391601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750305175781" w:right="0" w:firstLine="687.2624969482422"/>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Zero-Day Exploits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9.180068969726562" w:right="853.82080078125" w:firstLine="4.319992065429687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Zero-day exploits involve exploiting unknown vulnerabilities in software before developers can fix them. These vulnerabilities  are often discovered by attackers, who then use them to gain unauthorized access to systems and 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931640625" w:line="322.09333419799805" w:lineRule="auto"/>
        <w:ind w:left="11.070022583007812" w:right="1071.793212890625" w:hanging="7.0199584960937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Attackers find and exploit flaws in software that are not yet known to the vendor. This allows them to bypass security  measures and gain access to sensitive information before the vulnerability is patched. Zero-day exploits can be particularly  dangerous because they are often difficult to detect and prevent.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954833984375"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250976562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Neural Network Attacks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11.610031127929688" w:right="767.09716796875" w:firstLine="9.449996948242188"/>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Neural network attacks exploit the vulnerabilities in AI and neural networks. These attacks can compromise AI-based security  systems, leading to unauthorized access and data breaches.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62646484375" w:line="240" w:lineRule="auto"/>
        <w:ind w:left="435.76805114746094"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Adversarial Attacks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Model Inversion Attacks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22.09333419799805" w:lineRule="auto"/>
        <w:ind w:left="11.070022583007812" w:right="922.48779296875" w:hanging="7.0199584960937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Adversarial attacks involve manipulating inputs to fool AI models into making incorrect decisions. For example, attackers can  create images that are slightly altered but cause the AI to misclassify them. Model inversion attacks involve reconstructing  private data from AI model outputs. This can be used to steal sensitive information that was used to train the model.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551391601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75659179687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Quantum Computing Threats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13.50006103515625" w:right="1176.55517578125" w:firstLine="7.5599670410156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Emerging quantum computers have the potential to break current encryption standards, leading to massive data breaches.  Quantum computers can solve problems that classical computers cannot, posing a significant threat to cybersecurity.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931640625" w:line="240" w:lineRule="auto"/>
        <w:ind w:left="444.4080352783203"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Shor's Algorithm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45.2179718017578"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Quantum Supremacy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18.39111328125" w:lineRule="auto"/>
        <w:ind w:left="0" w:right="687.88330078125" w:firstLine="12.690048217773438"/>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Shor's algorithm can factorize large numbers exponentially faster than classical computers, breaking RSA encryption, which is  widely used to secure online transactions. Quantum supremacy refers to the ability of quantum computers to solve problems  that classical computers cannot. This could lead to the development of new attacks that are impossible to defend against with  current technology.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1201782226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250976562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Fileless Malware Attacks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11.070022583007812" w:right="769.3212890625" w:firstLine="9.990005493164062"/>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Fileless malware attacks operate without the need to install malicious files on the victim's device, making them harder to  detect. These attacks use existing software and resources to perform malicious activities, leaving little trace of their presence.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93164062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Memory Exploits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Living off the Land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18.39111328125" w:lineRule="auto"/>
        <w:ind w:left="0" w:right="887.333984375" w:firstLine="21.06002807617187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Memory exploits involve malware operating in the device's memory rather than on the disk. This makes it difficult for  traditional antivirus software to detect and remove the malware. Living off the land involves using legitimate software tools to  perform malicious activities. This allows attackers to blend in with legitimate processes, making it harder to identify their  actions.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1201782226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7.34375" w:firstLine="0"/>
        <w:jc w:val="righ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Cryptojacking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387939453125" w:line="318.39111328125" w:lineRule="auto"/>
        <w:ind w:left="6761.0699462890625" w:right="687.41455078125" w:firstLine="2.42980957031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Cryptojacking is the unauthorized use of someone's computer or mobile  device to mine cryptocurrency. Attackers hijack the device's processing  power to generate cryptocurrency for their own benefit, often without the  user's knowledge or consent.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19970703125" w:line="240" w:lineRule="auto"/>
        <w:ind w:left="0" w:right="6777.852783203125"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Browser-Based Mining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7202.779769897461"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Malicious Apps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19.8720073699951" w:lineRule="auto"/>
        <w:ind w:left="6750.0018310546875" w:right="810.458984375" w:firstLine="21.05957031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Browser-based mining involves injecting malicious scripts into websites  that hijack users' processing power. These scripts can run in the  background, consuming the device's resources without the user's  awareness. Malicious apps infect devices with apps that secretly mine  cryptocurrency. These apps can be disguised as legitimate applications,  making it difficult for users to identify them.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542236328125"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72509765625" w:right="0" w:firstLine="0"/>
        <w:jc w:val="left"/>
        <w:rPr>
          <w:rFonts w:ascii="Petrona" w:cs="Petrona" w:eastAsia="Petrona" w:hAnsi="Petrona"/>
          <w:b w:val="1"/>
          <w:i w:val="0"/>
          <w:smallCaps w:val="0"/>
          <w:strike w:val="0"/>
          <w:color w:val="000000"/>
          <w:sz w:val="70.875"/>
          <w:szCs w:val="70.875"/>
          <w:u w:val="none"/>
          <w:shd w:fill="auto" w:val="clear"/>
          <w:vertAlign w:val="baseline"/>
        </w:rPr>
      </w:pPr>
      <w:r w:rsidDel="00000000" w:rsidR="00000000" w:rsidRPr="00000000">
        <w:rPr>
          <w:rFonts w:ascii="Petrona" w:cs="Petrona" w:eastAsia="Petrona" w:hAnsi="Petrona"/>
          <w:b w:val="1"/>
          <w:i w:val="0"/>
          <w:smallCaps w:val="0"/>
          <w:strike w:val="0"/>
          <w:color w:val="000000"/>
          <w:sz w:val="70.875"/>
          <w:szCs w:val="70.875"/>
          <w:u w:val="none"/>
          <w:shd w:fill="auto" w:val="clear"/>
          <w:vertAlign w:val="baseline"/>
          <w:rtl w:val="0"/>
        </w:rPr>
        <w:t xml:space="preserve">Social Media Manipulation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387939453125" w:line="322.09333419799805" w:lineRule="auto"/>
        <w:ind w:left="18.090057373046875" w:right="1244.991455078125" w:hanging="4.589996337890625"/>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Cybercriminals use social media platforms to spread misinformation, manipulate public opinion, or target individuals. They  leverage the reach and influence of social media to achieve their goals, often with malicious intent.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5493164062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Fake Profiles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0997314453125" w:line="240" w:lineRule="auto"/>
        <w:ind w:left="452.77809143066406" w:right="0" w:firstLine="0"/>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Influence Campaigns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0997314453125" w:line="318.39111328125" w:lineRule="auto"/>
        <w:ind w:left="11.070022583007812" w:right="683.427734375" w:firstLine="9.990005493164062"/>
        <w:jc w:val="lef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tl w:val="0"/>
        </w:rPr>
        <w:t xml:space="preserve">Fake profiles are created to spread malicious links or phishing attempts. These profiles can be used to impersonate real  people or organizations, gaining trust from unsuspecting users. Influence campaigns involve coordinated efforts to manipulate  opinions or behaviors on social media platforms. These campaigns can be used to spread propaganda, sow discord, or  influence elections.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1201782226562" w:line="240" w:lineRule="auto"/>
        <w:ind w:left="0" w:right="0" w:firstLine="0"/>
        <w:jc w:val="right"/>
        <w:rPr>
          <w:rFonts w:ascii="Inter" w:cs="Inter" w:eastAsia="Inter" w:hAnsi="Inter"/>
          <w:b w:val="0"/>
          <w:i w:val="0"/>
          <w:smallCaps w:val="0"/>
          <w:strike w:val="0"/>
          <w:color w:val="272525"/>
          <w:sz w:val="27"/>
          <w:szCs w:val="27"/>
          <w:u w:val="none"/>
          <w:shd w:fill="auto" w:val="clear"/>
          <w:vertAlign w:val="baseline"/>
        </w:rPr>
      </w:pPr>
      <w:r w:rsidDel="00000000" w:rsidR="00000000" w:rsidRPr="00000000">
        <w:rPr>
          <w:rFonts w:ascii="Inter" w:cs="Inter" w:eastAsia="Inter" w:hAnsi="Inter"/>
          <w:b w:val="0"/>
          <w:i w:val="0"/>
          <w:smallCaps w:val="0"/>
          <w:strike w:val="0"/>
          <w:color w:val="272525"/>
          <w:sz w:val="27"/>
          <w:szCs w:val="27"/>
          <w:u w:val="none"/>
          <w:shd w:fill="auto" w:val="clear"/>
          <w:vertAlign w:val="baseline"/>
        </w:rPr>
        <w:drawing>
          <wp:inline distB="19050" distT="19050" distL="19050" distR="19050">
            <wp:extent cx="1754505" cy="41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4505" cy="419100"/>
                    </a:xfrm>
                    <a:prstGeom prst="rect"/>
                    <a:ln/>
                  </pic:spPr>
                </pic:pic>
              </a:graphicData>
            </a:graphic>
          </wp:inline>
        </w:drawing>
      </w:r>
      <w:r w:rsidDel="00000000" w:rsidR="00000000" w:rsidRPr="00000000">
        <w:rPr>
          <w:rtl w:val="0"/>
        </w:rPr>
      </w:r>
    </w:p>
    <w:sectPr>
      <w:pgSz w:h="10140" w:w="18000" w:orient="landscape"/>
      <w:pgMar w:bottom="200" w:top="1421.25" w:left="947.6999664306641" w:right="19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tron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Petrona-regular.ttf"/><Relationship Id="rId6" Type="http://schemas.openxmlformats.org/officeDocument/2006/relationships/font" Target="fonts/Petrona-bold.ttf"/><Relationship Id="rId7" Type="http://schemas.openxmlformats.org/officeDocument/2006/relationships/font" Target="fonts/Petrona-italic.ttf"/><Relationship Id="rId8" Type="http://schemas.openxmlformats.org/officeDocument/2006/relationships/font" Target="fonts/Petron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