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7A940" w14:textId="77777777" w:rsidR="003C3E11" w:rsidRDefault="00A874C7">
      <w:pPr>
        <w:spacing w:before="2400"/>
        <w:rPr>
          <w:rFonts w:hint="eastAsia"/>
        </w:rPr>
      </w:pPr>
      <w:r>
        <w:rPr>
          <w:rFonts w:ascii="Segoe UI Semibold" w:hAnsi="Segoe UI Semibold" w:cs="Segoe UI Semibold"/>
          <w:b/>
          <w:color w:val="9A4522"/>
          <w:sz w:val="48"/>
        </w:rPr>
        <w:t>Technical Design Document (TDD)</w:t>
      </w:r>
    </w:p>
    <w:p w14:paraId="4D84ED3E" w14:textId="77777777" w:rsidR="003C3E11" w:rsidRDefault="00A874C7">
      <w:pPr>
        <w:rPr>
          <w:rFonts w:hint="eastAsia"/>
        </w:rPr>
      </w:pPr>
      <w:r>
        <w:rPr>
          <w:rFonts w:ascii="Segoe UI Semibold" w:hAnsi="Segoe UI Semibold" w:cs="Segoe UI Semibold"/>
          <w:b/>
          <w:sz w:val="38"/>
        </w:rPr>
        <w:t>LUXE — AI Shopping Assistant</w:t>
      </w:r>
    </w:p>
    <w:p w14:paraId="7F8E3A10" w14:textId="77777777" w:rsidR="003C3E11" w:rsidRDefault="003C3E11">
      <w:pPr>
        <w:spacing w:after="480"/>
        <w:rPr>
          <w:rFonts w:hint="eastAsia"/>
        </w:rPr>
      </w:pPr>
    </w:p>
    <w:p w14:paraId="0E567027" w14:textId="77777777" w:rsidR="003C3E11" w:rsidRDefault="00A874C7">
      <w:pPr>
        <w:spacing w:after="60"/>
        <w:rPr>
          <w:rFonts w:hint="eastAsia"/>
        </w:rPr>
      </w:pPr>
      <w:r>
        <w:rPr>
          <w:b/>
        </w:rPr>
        <w:t xml:space="preserve">Author:  </w:t>
      </w:r>
      <w:r>
        <w:t>Forward-Deployed AI Engineer</w:t>
      </w:r>
    </w:p>
    <w:p w14:paraId="251930DB" w14:textId="77777777" w:rsidR="003C3E11" w:rsidRDefault="00A874C7">
      <w:pPr>
        <w:spacing w:after="60"/>
        <w:rPr>
          <w:rFonts w:hint="eastAsia"/>
        </w:rPr>
      </w:pPr>
      <w:r>
        <w:rPr>
          <w:b/>
        </w:rPr>
        <w:t xml:space="preserve">Status:  </w:t>
      </w:r>
      <w:r>
        <w:t>Architecture Review</w:t>
      </w:r>
    </w:p>
    <w:p w14:paraId="52740D3C" w14:textId="77777777" w:rsidR="003C3E11" w:rsidRDefault="00A874C7">
      <w:pPr>
        <w:spacing w:after="60"/>
        <w:rPr>
          <w:rFonts w:hint="eastAsia"/>
        </w:rPr>
      </w:pPr>
      <w:r>
        <w:rPr>
          <w:b/>
        </w:rPr>
        <w:t xml:space="preserve">Date:  </w:t>
      </w:r>
      <w:r>
        <w:t>September 2026</w:t>
      </w:r>
    </w:p>
    <w:p w14:paraId="492CA22B" w14:textId="77777777" w:rsidR="003C3E11" w:rsidRDefault="00A874C7">
      <w:pPr>
        <w:spacing w:after="60"/>
        <w:rPr>
          <w:rFonts w:hint="eastAsia"/>
        </w:rPr>
      </w:pPr>
      <w:r>
        <w:rPr>
          <w:b/>
        </w:rPr>
        <w:t xml:space="preserve">Audience:  </w:t>
      </w:r>
      <w:r>
        <w:t>LUXE engineering</w:t>
      </w:r>
    </w:p>
    <w:p w14:paraId="505630A0" w14:textId="77777777" w:rsidR="003C3E11" w:rsidRDefault="00A874C7">
      <w:pPr>
        <w:rPr>
          <w:rFonts w:hint="eastAsia"/>
        </w:rPr>
      </w:pPr>
      <w:r>
        <w:br w:type="page"/>
      </w:r>
    </w:p>
    <w:p w14:paraId="15943E46" w14:textId="77777777" w:rsidR="003C3E11" w:rsidRDefault="00A874C7">
      <w:pPr>
        <w:rPr>
          <w:rFonts w:hint="eastAsia"/>
        </w:rPr>
      </w:pPr>
      <w:r>
        <w:rPr>
          <w:rFonts w:ascii="Segoe UI Semibold" w:hAnsi="Segoe UI Semibold" w:cs="Segoe UI Semibold"/>
          <w:b/>
          <w:color w:val="9A4522"/>
          <w:sz w:val="30"/>
        </w:rPr>
        <w:lastRenderedPageBreak/>
        <w:t>Contents</w:t>
      </w:r>
    </w:p>
    <w:p w14:paraId="24649068" w14:textId="73D8572B" w:rsidR="00A874C7" w:rsidRDefault="00A874C7">
      <w:pPr>
        <w:pStyle w:val="TOC1"/>
        <w:tabs>
          <w:tab w:val="right" w:leader="dot" w:pos="9019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950040" w:history="1">
        <w:r w:rsidRPr="00842804">
          <w:rPr>
            <w:rStyle w:val="Hyperlink"/>
            <w:noProof/>
          </w:rPr>
          <w:t>1.  System Architecture (HLD)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04A266" w14:textId="69D7AF4C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41" w:history="1">
        <w:r w:rsidRPr="00842804">
          <w:rPr>
            <w:rStyle w:val="Hyperlink"/>
            <w:noProof/>
          </w:rPr>
          <w:t>1.1  Architectural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D6FADE" w14:textId="76291F0E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42" w:history="1">
        <w:r w:rsidRPr="00842804">
          <w:rPr>
            <w:rStyle w:val="Hyperlink"/>
            <w:noProof/>
          </w:rPr>
          <w:t>1.2  Component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63125A" w14:textId="6EFDC57E" w:rsidR="00A874C7" w:rsidRDefault="00A874C7">
      <w:pPr>
        <w:pStyle w:val="TOC1"/>
        <w:tabs>
          <w:tab w:val="right" w:leader="dot" w:pos="9019"/>
        </w:tabs>
        <w:rPr>
          <w:noProof/>
        </w:rPr>
      </w:pPr>
      <w:hyperlink w:anchor="_Toc239950043" w:history="1">
        <w:r w:rsidRPr="00842804">
          <w:rPr>
            <w:rStyle w:val="Hyperlink"/>
            <w:noProof/>
          </w:rPr>
          <w:t>2.  Agent Orchestration (LLD)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C402A1" w14:textId="2C36CEA2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44" w:history="1">
        <w:r w:rsidRPr="00842804">
          <w:rPr>
            <w:rStyle w:val="Hyperlink"/>
            <w:noProof/>
          </w:rPr>
          <w:t>2.1  Execution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A59EC0" w14:textId="59A1548C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45" w:history="1">
        <w:r w:rsidRPr="00842804">
          <w:rPr>
            <w:rStyle w:val="Hyperlink"/>
            <w:noProof/>
          </w:rPr>
          <w:t>2.2  The agent and its tool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C7F16F" w14:textId="273BC74A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46" w:history="1">
        <w:r w:rsidRPr="00842804">
          <w:rPr>
            <w:rStyle w:val="Hyperlink"/>
            <w:noProof/>
          </w:rPr>
          <w:t>2.3  Resiliency and fallbacks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860650" w14:textId="672A32D6" w:rsidR="00A874C7" w:rsidRDefault="00A874C7">
      <w:pPr>
        <w:pStyle w:val="TOC1"/>
        <w:tabs>
          <w:tab w:val="right" w:leader="dot" w:pos="9019"/>
        </w:tabs>
        <w:rPr>
          <w:noProof/>
        </w:rPr>
      </w:pPr>
      <w:hyperlink w:anchor="_Toc239950047" w:history="1">
        <w:r w:rsidRPr="00842804">
          <w:rPr>
            <w:rStyle w:val="Hyperlink"/>
            <w:noProof/>
          </w:rPr>
          <w:t>3.  Data &amp; Security Model (LLD)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AD26D9" w14:textId="1E867715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48" w:history="1">
        <w:r w:rsidRPr="00842804">
          <w:rPr>
            <w:rStyle w:val="Hyperlink"/>
            <w:noProof/>
          </w:rPr>
          <w:t>3.1  Catalog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B80902" w14:textId="5279AA55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49" w:history="1">
        <w:r w:rsidRPr="00842804">
          <w:rPr>
            <w:rStyle w:val="Hyperlink"/>
            <w:noProof/>
          </w:rPr>
          <w:t>3.2  Guardrails — defence in depth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3E51B8" w14:textId="285ECC6D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50" w:history="1">
        <w:r w:rsidRPr="00842804">
          <w:rPr>
            <w:rStyle w:val="Hyperlink"/>
            <w:noProof/>
          </w:rPr>
          <w:t>3.3  Identity and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D1B7F7" w14:textId="28242E41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51" w:history="1">
        <w:r w:rsidRPr="00842804">
          <w:rPr>
            <w:rStyle w:val="Hyperlink"/>
            <w:noProof/>
          </w:rPr>
          <w:t>3.4  Observability and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8B5A72" w14:textId="58AB11DB" w:rsidR="00A874C7" w:rsidRDefault="00A874C7">
      <w:pPr>
        <w:pStyle w:val="TOC1"/>
        <w:tabs>
          <w:tab w:val="right" w:leader="dot" w:pos="9019"/>
        </w:tabs>
        <w:rPr>
          <w:noProof/>
        </w:rPr>
      </w:pPr>
      <w:hyperlink w:anchor="_Toc239950052" w:history="1">
        <w:r w:rsidRPr="00842804">
          <w:rPr>
            <w:rStyle w:val="Hyperlink"/>
            <w:noProof/>
          </w:rPr>
          <w:t>4.  Reliability &amp;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19877A" w14:textId="5BF826F5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53" w:history="1">
        <w:r w:rsidRPr="00842804">
          <w:rPr>
            <w:rStyle w:val="Hyperlink"/>
            <w:noProof/>
          </w:rPr>
          <w:t>4.1  Failure modes and behaviour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6F38C6" w14:textId="1CABA80C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54" w:history="1">
        <w:r w:rsidRPr="00842804">
          <w:rPr>
            <w:rStyle w:val="Hyperlink"/>
            <w:noProof/>
          </w:rPr>
          <w:t>4.2  Statelessness and scaling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E1DB86" w14:textId="2DB4FBEC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55" w:history="1">
        <w:r w:rsidRPr="00842804">
          <w:rPr>
            <w:rStyle w:val="Hyperlink"/>
            <w:noProof/>
          </w:rPr>
          <w:t>4.3  Testing and the release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AF641E" w14:textId="6713EE29" w:rsidR="00A874C7" w:rsidRDefault="00A874C7">
      <w:pPr>
        <w:pStyle w:val="TOC1"/>
        <w:tabs>
          <w:tab w:val="right" w:leader="dot" w:pos="9019"/>
        </w:tabs>
        <w:rPr>
          <w:noProof/>
        </w:rPr>
      </w:pPr>
      <w:hyperlink w:anchor="_Toc239950056" w:history="1">
        <w:r w:rsidRPr="00842804">
          <w:rPr>
            <w:rStyle w:val="Hyperlink"/>
            <w:noProof/>
          </w:rPr>
          <w:t>5.  Integration &amp; Delivery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A0B4D5" w14:textId="7C4FA8BF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57" w:history="1">
        <w:r w:rsidRPr="00842804">
          <w:rPr>
            <w:rStyle w:val="Hyperlink"/>
            <w:noProof/>
          </w:rPr>
          <w:t>5.1  How the assistant lands in your codebase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46125E" w14:textId="68AB91E3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58" w:history="1">
        <w:r w:rsidRPr="00842804">
          <w:rPr>
            <w:rStyle w:val="Hyperlink"/>
            <w:noProof/>
          </w:rPr>
          <w:t>5.2 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3B6277" w14:textId="7BBA7421" w:rsidR="00A874C7" w:rsidRDefault="00A874C7">
      <w:pPr>
        <w:pStyle w:val="TOC2"/>
        <w:tabs>
          <w:tab w:val="right" w:leader="dot" w:pos="9019"/>
        </w:tabs>
        <w:rPr>
          <w:noProof/>
        </w:rPr>
      </w:pPr>
      <w:hyperlink w:anchor="_Toc239950059" w:history="1">
        <w:r w:rsidRPr="00842804">
          <w:rPr>
            <w:rStyle w:val="Hyperlink"/>
            <w:noProof/>
          </w:rPr>
          <w:t>5.3  The Forward-Deployed delivery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3D1931" w14:textId="71E79A7B" w:rsidR="00A874C7" w:rsidRDefault="00A874C7">
      <w:pPr>
        <w:pStyle w:val="TOC1"/>
        <w:tabs>
          <w:tab w:val="right" w:leader="dot" w:pos="9019"/>
        </w:tabs>
        <w:rPr>
          <w:noProof/>
        </w:rPr>
      </w:pPr>
      <w:hyperlink w:anchor="_Toc239950060" w:history="1">
        <w:r w:rsidRPr="00842804">
          <w:rPr>
            <w:rStyle w:val="Hyperlink"/>
            <w:noProof/>
          </w:rPr>
          <w:t>Appendix A  —  Cost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FC3BD9" w14:textId="7032E4E6" w:rsidR="00A874C7" w:rsidRDefault="00A874C7">
      <w:pPr>
        <w:pStyle w:val="TOC3"/>
        <w:tabs>
          <w:tab w:val="right" w:leader="dot" w:pos="9019"/>
        </w:tabs>
        <w:rPr>
          <w:noProof/>
        </w:rPr>
      </w:pPr>
      <w:hyperlink w:anchor="_Toc239950061" w:history="1">
        <w:r w:rsidRPr="00842804">
          <w:rPr>
            <w:rStyle w:val="Hyperlink"/>
            <w:noProof/>
          </w:rPr>
          <w:t>Per message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90FCE0" w14:textId="4A6CE50D" w:rsidR="00A874C7" w:rsidRDefault="00A874C7">
      <w:pPr>
        <w:pStyle w:val="TOC3"/>
        <w:tabs>
          <w:tab w:val="right" w:leader="dot" w:pos="9019"/>
        </w:tabs>
        <w:rPr>
          <w:noProof/>
        </w:rPr>
      </w:pPr>
      <w:hyperlink w:anchor="_Toc239950062" w:history="1">
        <w:r w:rsidRPr="00842804">
          <w:rPr>
            <w:rStyle w:val="Hyperlink"/>
            <w:noProof/>
          </w:rPr>
          <w:t>Per month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25B63A" w14:textId="0A41FFC2" w:rsidR="003C3E11" w:rsidRDefault="00A874C7">
      <w:pPr>
        <w:rPr>
          <w:rFonts w:hint="eastAsia"/>
        </w:rPr>
      </w:pPr>
      <w:r>
        <w:fldChar w:fldCharType="end"/>
      </w:r>
    </w:p>
    <w:p w14:paraId="08CCD51F" w14:textId="77777777" w:rsidR="003C3E11" w:rsidRDefault="00A874C7">
      <w:pPr>
        <w:rPr>
          <w:rFonts w:hint="eastAsia"/>
        </w:rPr>
      </w:pPr>
      <w:r>
        <w:br w:type="page"/>
      </w:r>
    </w:p>
    <w:p w14:paraId="3518B817" w14:textId="77777777" w:rsidR="003C3E11" w:rsidRDefault="00A874C7">
      <w:pPr>
        <w:pStyle w:val="Heading1"/>
      </w:pPr>
      <w:bookmarkStart w:id="0" w:name="_Toc239950040"/>
      <w:r>
        <w:lastRenderedPageBreak/>
        <w:t>1.  System Architecture (HLD)</w:t>
      </w:r>
      <w:bookmarkEnd w:id="0"/>
    </w:p>
    <w:p w14:paraId="105B1C2E" w14:textId="77777777" w:rsidR="003C3E11" w:rsidRDefault="00A874C7">
      <w:pPr>
        <w:rPr>
          <w:rFonts w:hint="eastAsia"/>
        </w:rPr>
      </w:pPr>
      <w:r>
        <w:t>The LUXE AI Shopping Assistant adds a natural-language product-discovery layer to the existing storefront. It is an addition, not a rewrite: the catalog, cart, checkout, accounts and admin are untouched. The assistant is a chat widget on the front end and a single new endpoint on the back end.</w:t>
      </w:r>
    </w:p>
    <w:p w14:paraId="1254D1AD" w14:textId="77777777" w:rsidR="003C3E11" w:rsidRDefault="00A874C7">
      <w:pPr>
        <w:rPr>
          <w:rFonts w:hint="eastAsia"/>
        </w:rPr>
      </w:pPr>
      <w:r>
        <w:t>The design has three concerns: a static presentation layer, a stateless orchestration pipeline, and a read-only data-access path. Reasoning happens only in the orchestration layer; the language model is never given direct access to the database.</w:t>
      </w:r>
    </w:p>
    <w:p w14:paraId="5AFC9FD4" w14:textId="77777777" w:rsidR="003C3E11" w:rsidRDefault="00A874C7">
      <w:pPr>
        <w:pStyle w:val="Heading2"/>
      </w:pPr>
      <w:bookmarkStart w:id="1" w:name="_Toc239950041"/>
      <w:r>
        <w:t>1.1  Architectural overview</w:t>
      </w:r>
      <w:bookmarkEnd w:id="1"/>
    </w:p>
    <w:p w14:paraId="288C7AE2" w14:textId="77777777" w:rsidR="003C3E11" w:rsidRDefault="00A874C7">
      <w:pPr>
        <w:spacing w:before="1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2CDC58" wp14:editId="720DFD4C">
            <wp:extent cx="5760720" cy="26078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d_d1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F509" w14:textId="77777777" w:rsidR="003C3E11" w:rsidRDefault="00A874C7">
      <w:pPr>
        <w:spacing w:before="40" w:after="240"/>
        <w:rPr>
          <w:rFonts w:hint="eastAsia"/>
        </w:rPr>
      </w:pPr>
      <w:r>
        <w:rPr>
          <w:i/>
          <w:color w:val="6B635B"/>
          <w:sz w:val="17"/>
        </w:rPr>
        <w:t>Figure 1. The assistant is one function, run_chat(), sitting between the chat widget and the catalog. It calls out to Groq for the models and streams traces to Logfire.</w:t>
      </w:r>
    </w:p>
    <w:p w14:paraId="798F384D" w14:textId="77777777" w:rsidR="003C3E11" w:rsidRDefault="00A874C7">
      <w:pPr>
        <w:pStyle w:val="Heading2"/>
      </w:pPr>
      <w:bookmarkStart w:id="2" w:name="_Toc239950042"/>
      <w:r>
        <w:t>1.2  Component responsibilities</w:t>
      </w:r>
      <w:bookmarkEnd w:id="2"/>
    </w:p>
    <w:tbl>
      <w:tblPr>
        <w:tblW w:w="0" w:type="auto"/>
        <w:jc w:val="center"/>
        <w:tblBorders>
          <w:top w:val="single" w:sz="4" w:space="0" w:color="DDD5C8"/>
          <w:left w:val="single" w:sz="4" w:space="0" w:color="DDD5C8"/>
          <w:bottom w:val="single" w:sz="4" w:space="0" w:color="DDD5C8"/>
          <w:right w:val="single" w:sz="4" w:space="0" w:color="DDD5C8"/>
          <w:insideH w:val="single" w:sz="4" w:space="0" w:color="DDD5C8"/>
          <w:insideV w:val="single" w:sz="4" w:space="0" w:color="DDD5C8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3C3E11" w14:paraId="127A6B3F" w14:textId="77777777">
        <w:trPr>
          <w:jc w:val="center"/>
        </w:trPr>
        <w:tc>
          <w:tcPr>
            <w:tcW w:w="2160" w:type="dxa"/>
            <w:shd w:val="clear" w:color="auto" w:fill="F0E2DB"/>
          </w:tcPr>
          <w:p w14:paraId="066FE09B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Component</w:t>
            </w:r>
          </w:p>
        </w:tc>
        <w:tc>
          <w:tcPr>
            <w:tcW w:w="6480" w:type="dxa"/>
            <w:shd w:val="clear" w:color="auto" w:fill="F0E2DB"/>
          </w:tcPr>
          <w:p w14:paraId="0D084CE3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Responsibility</w:t>
            </w:r>
          </w:p>
        </w:tc>
      </w:tr>
      <w:tr w:rsidR="003C3E11" w14:paraId="417D965E" w14:textId="77777777">
        <w:trPr>
          <w:jc w:val="center"/>
        </w:trPr>
        <w:tc>
          <w:tcPr>
            <w:tcW w:w="2160" w:type="dxa"/>
          </w:tcPr>
          <w:p w14:paraId="7D710E00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Presentation</w:t>
            </w:r>
          </w:p>
        </w:tc>
        <w:tc>
          <w:tcPr>
            <w:tcW w:w="6480" w:type="dxa"/>
          </w:tcPr>
          <w:p w14:paraId="75330617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 xml:space="preserve">Static ES-module chat widget mounted once on every page. Holds only UI state (open/closed, message list). Escapes every value from the model or </w:t>
            </w:r>
            <w:r>
              <w:rPr>
                <w:sz w:val="19"/>
              </w:rPr>
              <w:t>the user before it touches the DOM. No build step.</w:t>
            </w:r>
          </w:p>
        </w:tc>
      </w:tr>
      <w:tr w:rsidR="003C3E11" w14:paraId="7AA9E4B4" w14:textId="77777777">
        <w:trPr>
          <w:jc w:val="center"/>
        </w:trPr>
        <w:tc>
          <w:tcPr>
            <w:tcW w:w="2160" w:type="dxa"/>
          </w:tcPr>
          <w:p w14:paraId="09FE714A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Orchestration</w:t>
            </w:r>
          </w:p>
        </w:tc>
        <w:tc>
          <w:tcPr>
            <w:tcW w:w="6480" w:type="dxa"/>
          </w:tcPr>
          <w:p w14:paraId="014CCEE5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backend/chatbot/pipeline.py :: run_chat(message) -&gt; dict. Framework-free. Runs input guards, the agent, the output guard, and shapes the response. Returns a plain dict and never raises.</w:t>
            </w:r>
          </w:p>
        </w:tc>
      </w:tr>
      <w:tr w:rsidR="003C3E11" w14:paraId="68F1C031" w14:textId="77777777">
        <w:trPr>
          <w:jc w:val="center"/>
        </w:trPr>
        <w:tc>
          <w:tcPr>
            <w:tcW w:w="2160" w:type="dxa"/>
          </w:tcPr>
          <w:p w14:paraId="62B7D276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Agent</w:t>
            </w:r>
          </w:p>
        </w:tc>
        <w:tc>
          <w:tcPr>
            <w:tcW w:w="6480" w:type="dxa"/>
          </w:tcPr>
          <w:p w14:paraId="4111F506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A Pydantic AI agent on a Groq model with exactly one tool, search_products. Decides whether a message is a product query and, if so, calls the tool with typed filters.</w:t>
            </w:r>
          </w:p>
        </w:tc>
      </w:tr>
      <w:tr w:rsidR="003C3E11" w14:paraId="70897677" w14:textId="77777777">
        <w:trPr>
          <w:jc w:val="center"/>
        </w:trPr>
        <w:tc>
          <w:tcPr>
            <w:tcW w:w="2160" w:type="dxa"/>
          </w:tcPr>
          <w:p w14:paraId="1D670FEA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Data &amp; integration</w:t>
            </w:r>
          </w:p>
        </w:tc>
        <w:tc>
          <w:tcPr>
            <w:tcW w:w="6480" w:type="dxa"/>
          </w:tcPr>
          <w:p w14:paraId="15DA3E01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Read-only access to the products collection. Groq for the agent and guardrail models, optionally via the Portkey gateway. Logfire for tracing and evals.</w:t>
            </w:r>
          </w:p>
        </w:tc>
      </w:tr>
    </w:tbl>
    <w:p w14:paraId="6492A5B8" w14:textId="77777777" w:rsidR="003C3E11" w:rsidRDefault="003C3E11">
      <w:pPr>
        <w:spacing w:after="80"/>
        <w:rPr>
          <w:rFonts w:hint="eastAsia"/>
        </w:rPr>
      </w:pPr>
    </w:p>
    <w:p w14:paraId="68EC72A9" w14:textId="77777777" w:rsidR="003C3E11" w:rsidRDefault="00A874C7">
      <w:pPr>
        <w:pStyle w:val="Heading1"/>
      </w:pPr>
      <w:bookmarkStart w:id="3" w:name="_Toc239950043"/>
      <w:r>
        <w:lastRenderedPageBreak/>
        <w:t>2.  Agent Orchestration (LLD)</w:t>
      </w:r>
      <w:bookmarkEnd w:id="3"/>
    </w:p>
    <w:p w14:paraId="51F7B009" w14:textId="77777777" w:rsidR="003C3E11" w:rsidRDefault="00A874C7">
      <w:pPr>
        <w:rPr>
          <w:rFonts w:hint="eastAsia"/>
        </w:rPr>
      </w:pPr>
      <w:r>
        <w:t xml:space="preserve">The orchestration tier keeps behaviour deterministic around a probabilistic core. One function owns the whole lifecycle of a </w:t>
      </w:r>
      <w:r>
        <w:t>message.</w:t>
      </w:r>
    </w:p>
    <w:p w14:paraId="26291FAA" w14:textId="77777777" w:rsidR="003C3E11" w:rsidRDefault="00A874C7">
      <w:pPr>
        <w:pStyle w:val="Heading2"/>
      </w:pPr>
      <w:bookmarkStart w:id="4" w:name="_Toc239950044"/>
      <w:r>
        <w:t>2.1  Execution loop</w:t>
      </w:r>
      <w:bookmarkEnd w:id="4"/>
    </w:p>
    <w:p w14:paraId="12B080CC" w14:textId="77777777" w:rsidR="003C3E11" w:rsidRDefault="00A874C7">
      <w:pPr>
        <w:spacing w:before="1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BB4AF1" wp14:editId="3536BC9E">
            <wp:extent cx="5760720" cy="17037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d_d2_pip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C2E4" w14:textId="77777777" w:rsidR="003C3E11" w:rsidRDefault="00A874C7">
      <w:pPr>
        <w:spacing w:before="40" w:after="240"/>
        <w:rPr>
          <w:rFonts w:hint="eastAsia"/>
        </w:rPr>
      </w:pPr>
      <w:r>
        <w:rPr>
          <w:i/>
          <w:color w:val="6B635B"/>
          <w:sz w:val="17"/>
        </w:rPr>
        <w:t>Figure 2. Every message runs the same five stages.</w:t>
      </w:r>
    </w:p>
    <w:p w14:paraId="60C661D1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Ingestion.</w:t>
      </w:r>
      <w:r>
        <w:t xml:space="preserve">  The message is trimmed. An empty message returns immediately with a prompt to type something — no model calls.</w:t>
      </w:r>
    </w:p>
    <w:p w14:paraId="35A38996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Input guards (concurrent).</w:t>
      </w:r>
      <w:r>
        <w:t xml:space="preserve">  Two Groq safety models run together via asyncio.gather: Llama Prompt Guard 2 returns an injection/jailbreak likelihood (blocked at ≥ 0.5), and gpt-oss-safeguard-20b classifies the message against a bring-your-own-policy prompt. A flag from either one returns the standard refusal.</w:t>
      </w:r>
    </w:p>
    <w:p w14:paraId="5DE2003B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Agent run.</w:t>
      </w:r>
      <w:r>
        <w:t xml:space="preserve">  The agent receives the message with its system prompt. If the message is a product query it calls search_products; otherwise it replies in plain text or issues the standard refusal for off-topic requests.</w:t>
      </w:r>
    </w:p>
    <w:p w14:paraId="422FAEE0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Output guard.</w:t>
      </w:r>
      <w:r>
        <w:t xml:space="preserve">  gpt-oss-safeguard-20b checks the agent's reply against the output policy — prompt leaks, unauthorised commitments, unsafe content, a jailbroken persona. A flag returns the refusal instead of the reply.</w:t>
      </w:r>
    </w:p>
    <w:p w14:paraId="3A54A03E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Synthesis.</w:t>
      </w:r>
      <w:r>
        <w:t xml:space="preserve">  The endpoint returns {type, message, data}. type is "products" when the tool found matches (read off a per-run object, not parsed from the model's words), otherwise "text".</w:t>
      </w:r>
    </w:p>
    <w:p w14:paraId="5B942E55" w14:textId="77777777" w:rsidR="003C3E11" w:rsidRDefault="00A874C7">
      <w:pPr>
        <w:spacing w:before="1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EED4AA" wp14:editId="58613A60">
            <wp:extent cx="5577840" cy="2474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d_d3_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7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5B7A" w14:textId="77777777" w:rsidR="003C3E11" w:rsidRDefault="00A874C7">
      <w:pPr>
        <w:spacing w:before="40" w:after="240"/>
        <w:rPr>
          <w:rFonts w:hint="eastAsia"/>
        </w:rPr>
      </w:pPr>
      <w:r>
        <w:rPr>
          <w:i/>
          <w:color w:val="6B635B"/>
          <w:sz w:val="17"/>
        </w:rPr>
        <w:t>Figure 3. A product query end to end.</w:t>
      </w:r>
    </w:p>
    <w:p w14:paraId="613C4709" w14:textId="77777777" w:rsidR="003C3E11" w:rsidRDefault="00A874C7">
      <w:pPr>
        <w:pStyle w:val="Heading2"/>
      </w:pPr>
      <w:bookmarkStart w:id="5" w:name="_Toc239950045"/>
      <w:r>
        <w:t>2.2  The agent and its tool</w:t>
      </w:r>
      <w:bookmarkEnd w:id="5"/>
    </w:p>
    <w:p w14:paraId="607E1DCD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System prompt.</w:t>
      </w:r>
      <w:r>
        <w:t xml:space="preserve">  A short rule set: greet warmly; for any product request ALWAYS call the tool and never describe products from memory; confirm what was searched; refuse anything unrelated to shopping; never invent names, prices or details.</w:t>
      </w:r>
    </w:p>
    <w:p w14:paraId="614A3323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The one tool, search_products.</w:t>
      </w:r>
      <w:r>
        <w:t xml:space="preserve">  Optional typed arguments: category, keyword, min_price, max_price. It builds a MongoDB query fragment by fragment — a case-insensitive exact match on category, a case-insensitive substring match on name, a numeric range on price — and runs find(query).limit(8).</w:t>
      </w:r>
    </w:p>
    <w:p w14:paraId="7698B49B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Result handling.</w:t>
      </w:r>
      <w:r>
        <w:t xml:space="preserve">  Each result's _id becomes a string id; the image is normalised to a single field (a URL or a reconstructed data: URL) and the raw base64 fields are stripped. Matches are stashed on a per-run StoreDeps object; the reply text is generated separately.</w:t>
      </w:r>
    </w:p>
    <w:p w14:paraId="5B5597EA" w14:textId="77777777" w:rsidR="003C3E11" w:rsidRDefault="00A874C7">
      <w:pPr>
        <w:rPr>
          <w:rFonts w:hint="eastAsia"/>
        </w:rPr>
      </w:pPr>
      <w:r>
        <w:t>The model never writes a query string. It chooses values for four named parameters; the tool does the rest. This is the core of the security model (section 3.1).</w:t>
      </w:r>
    </w:p>
    <w:p w14:paraId="7DB1E4B7" w14:textId="77777777" w:rsidR="003C3E11" w:rsidRDefault="00A874C7">
      <w:pPr>
        <w:pStyle w:val="Heading2"/>
      </w:pPr>
      <w:bookmarkStart w:id="6" w:name="_Toc239950046"/>
      <w:r>
        <w:t>2.3  Resiliency and fallbacks</w:t>
      </w:r>
      <w:bookmarkEnd w:id="6"/>
    </w:p>
    <w:p w14:paraId="2CA03239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Guardrails fail open.</w:t>
      </w:r>
      <w:r>
        <w:t xml:space="preserve">  If a Groq guardrail call errors (a network blip, a rate limit), the error is logged to Logfire and the request continues. A safety-model hiccup must never take chat offline.</w:t>
      </w:r>
    </w:p>
    <w:p w14:paraId="18B3845C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Agent errors degrade gracefully.</w:t>
      </w:r>
      <w:r>
        <w:t xml:space="preserve">  If the agent run itself fails, the shopper gets a friendly “I ran into an issue, please try again” with the customer-care number — never a stack trace or a broken page.</w:t>
      </w:r>
    </w:p>
    <w:p w14:paraId="39E9741F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Gateway fallback.</w:t>
      </w:r>
      <w:r>
        <w:t xml:space="preserve">  When Portkey is configured, all model calls route through it for logging and reliability. When it is not, the same code calls Groq directly. Behaviour is identical either way.</w:t>
      </w:r>
    </w:p>
    <w:p w14:paraId="4C1893AA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Test isolation.</w:t>
      </w:r>
      <w:r>
        <w:t xml:space="preserve">  The offline test suite mocks the entire LLM boundary and swaps the database for an in-memory fake, so failure paths are exercised deterministically on every commit.</w:t>
      </w:r>
    </w:p>
    <w:p w14:paraId="65E5C8C2" w14:textId="77777777" w:rsidR="003C3E11" w:rsidRDefault="00A874C7">
      <w:pPr>
        <w:pStyle w:val="Heading1"/>
      </w:pPr>
      <w:bookmarkStart w:id="7" w:name="_Toc239950047"/>
      <w:r>
        <w:lastRenderedPageBreak/>
        <w:t>3.  Data &amp; Security Model (LLD)</w:t>
      </w:r>
      <w:bookmarkEnd w:id="7"/>
    </w:p>
    <w:p w14:paraId="3B5398D0" w14:textId="77777777" w:rsidR="003C3E11" w:rsidRDefault="00A874C7">
      <w:pPr>
        <w:rPr>
          <w:rFonts w:hint="eastAsia"/>
        </w:rPr>
      </w:pPr>
      <w:r>
        <w:t>The security boundary is the query surface, not the network. The assistant is assumed to be reachable; what matters is that it can only ever do one safe thing.</w:t>
      </w:r>
    </w:p>
    <w:p w14:paraId="111A3157" w14:textId="77777777" w:rsidR="003C3E11" w:rsidRDefault="00A874C7">
      <w:pPr>
        <w:pStyle w:val="Heading2"/>
      </w:pPr>
      <w:bookmarkStart w:id="8" w:name="_Toc239950048"/>
      <w:r>
        <w:t>3.1  Catalog access</w:t>
      </w:r>
      <w:bookmarkEnd w:id="8"/>
    </w:p>
    <w:p w14:paraId="34E39EEA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>The agent's tool reads a single collection, products, and nothing else.</w:t>
      </w:r>
    </w:p>
    <w:p w14:paraId="1B54355A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>The query is assembled only from the four typed tool arguments. There is no code path from model output to a raw query, an aggregation, or a write.</w:t>
      </w:r>
    </w:p>
    <w:p w14:paraId="088F75F8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>Every read is capped at 8 documents.</w:t>
      </w:r>
    </w:p>
    <w:p w14:paraId="02AD6E62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>Raw base64 image blobs are removed from every document before it leaves the tool, so nothing oversized or unexpected reaches the model or the client.</w:t>
      </w:r>
    </w:p>
    <w:p w14:paraId="52705D6C" w14:textId="77777777" w:rsidR="003C3E11" w:rsidRDefault="00A874C7">
      <w:pPr>
        <w:rPr>
          <w:rFonts w:hint="eastAsia"/>
        </w:rPr>
      </w:pPr>
      <w:r>
        <w:t>Because the model cannot author queries, the classic prompt-injection-to-SQL (or to NoSQL) risk does not exist here — there is no query for an attacker's text to reach.</w:t>
      </w:r>
    </w:p>
    <w:p w14:paraId="3BBCDE71" w14:textId="77777777" w:rsidR="003C3E11" w:rsidRDefault="00A874C7">
      <w:pPr>
        <w:pStyle w:val="Heading2"/>
      </w:pPr>
      <w:bookmarkStart w:id="9" w:name="_Toc239950049"/>
      <w:r>
        <w:t>3.2  Guardrails — defence in depth</w:t>
      </w:r>
      <w:bookmarkEnd w:id="9"/>
    </w:p>
    <w:p w14:paraId="57AE563D" w14:textId="77777777" w:rsidR="003C3E11" w:rsidRDefault="00A874C7">
      <w:pPr>
        <w:rPr>
          <w:rFonts w:hint="eastAsia"/>
        </w:rPr>
      </w:pPr>
      <w:r>
        <w:t>Two independent screens, one on the way in and one on the way out, each using a purpose-built safety model:</w:t>
      </w:r>
    </w:p>
    <w:tbl>
      <w:tblPr>
        <w:tblW w:w="0" w:type="auto"/>
        <w:jc w:val="center"/>
        <w:tblBorders>
          <w:top w:val="single" w:sz="4" w:space="0" w:color="DDD5C8"/>
          <w:left w:val="single" w:sz="4" w:space="0" w:color="DDD5C8"/>
          <w:bottom w:val="single" w:sz="4" w:space="0" w:color="DDD5C8"/>
          <w:right w:val="single" w:sz="4" w:space="0" w:color="DDD5C8"/>
          <w:insideH w:val="single" w:sz="4" w:space="0" w:color="DDD5C8"/>
          <w:insideV w:val="single" w:sz="4" w:space="0" w:color="DDD5C8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880"/>
        <w:gridCol w:w="4464"/>
      </w:tblGrid>
      <w:tr w:rsidR="003C3E11" w14:paraId="0E25CA84" w14:textId="77777777">
        <w:trPr>
          <w:jc w:val="center"/>
        </w:trPr>
        <w:tc>
          <w:tcPr>
            <w:tcW w:w="2016" w:type="dxa"/>
            <w:shd w:val="clear" w:color="auto" w:fill="F0E2DB"/>
          </w:tcPr>
          <w:p w14:paraId="562F3D0C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Screen</w:t>
            </w:r>
          </w:p>
        </w:tc>
        <w:tc>
          <w:tcPr>
            <w:tcW w:w="2880" w:type="dxa"/>
            <w:shd w:val="clear" w:color="auto" w:fill="F0E2DB"/>
          </w:tcPr>
          <w:p w14:paraId="6D45DBDC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Model</w:t>
            </w:r>
          </w:p>
        </w:tc>
        <w:tc>
          <w:tcPr>
            <w:tcW w:w="4464" w:type="dxa"/>
            <w:shd w:val="clear" w:color="auto" w:fill="F0E2DB"/>
          </w:tcPr>
          <w:p w14:paraId="2C107358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Catches</w:t>
            </w:r>
          </w:p>
        </w:tc>
      </w:tr>
      <w:tr w:rsidR="003C3E11" w14:paraId="20D065B4" w14:textId="77777777">
        <w:trPr>
          <w:jc w:val="center"/>
        </w:trPr>
        <w:tc>
          <w:tcPr>
            <w:tcW w:w="2016" w:type="dxa"/>
          </w:tcPr>
          <w:p w14:paraId="5AD6F1BC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Input — injection</w:t>
            </w:r>
          </w:p>
        </w:tc>
        <w:tc>
          <w:tcPr>
            <w:tcW w:w="2880" w:type="dxa"/>
          </w:tcPr>
          <w:p w14:paraId="03049397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Llama Prompt Guard 2 (86M)</w:t>
            </w:r>
          </w:p>
        </w:tc>
        <w:tc>
          <w:tcPr>
            <w:tcW w:w="4464" w:type="dxa"/>
          </w:tcPr>
          <w:p w14:paraId="619EB69C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 xml:space="preserve">Prompt injection and </w:t>
            </w:r>
            <w:r>
              <w:rPr>
                <w:sz w:val="19"/>
              </w:rPr>
              <w:t>jailbreak attempts. Returns a likelihood score; blocked at ≥ 0.5.</w:t>
            </w:r>
          </w:p>
        </w:tc>
      </w:tr>
      <w:tr w:rsidR="003C3E11" w14:paraId="5B0185D7" w14:textId="77777777">
        <w:trPr>
          <w:jc w:val="center"/>
        </w:trPr>
        <w:tc>
          <w:tcPr>
            <w:tcW w:w="2016" w:type="dxa"/>
          </w:tcPr>
          <w:p w14:paraId="75DA6B80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Input — policy</w:t>
            </w:r>
          </w:p>
        </w:tc>
        <w:tc>
          <w:tcPr>
            <w:tcW w:w="2880" w:type="dxa"/>
          </w:tcPr>
          <w:p w14:paraId="575B07C8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gpt-oss-safeguard-20b + INPUT_POLICY</w:t>
            </w:r>
          </w:p>
        </w:tc>
        <w:tc>
          <w:tcPr>
            <w:tcW w:w="4464" w:type="dxa"/>
          </w:tcPr>
          <w:p w14:paraId="5A466E47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Illegal/violent, self-harm, hate/harassment, sexual content, attempts to extract the system prompt or keys, and “ignore your rules” persona attacks.</w:t>
            </w:r>
          </w:p>
        </w:tc>
      </w:tr>
      <w:tr w:rsidR="003C3E11" w14:paraId="41F652B2" w14:textId="77777777">
        <w:trPr>
          <w:jc w:val="center"/>
        </w:trPr>
        <w:tc>
          <w:tcPr>
            <w:tcW w:w="2016" w:type="dxa"/>
          </w:tcPr>
          <w:p w14:paraId="64786018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Output — policy</w:t>
            </w:r>
          </w:p>
        </w:tc>
        <w:tc>
          <w:tcPr>
            <w:tcW w:w="2880" w:type="dxa"/>
          </w:tcPr>
          <w:p w14:paraId="790B747F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gpt-oss-safeguard-20b + OUTPUT_POLICY</w:t>
            </w:r>
          </w:p>
        </w:tc>
        <w:tc>
          <w:tcPr>
            <w:tcW w:w="4464" w:type="dxa"/>
          </w:tcPr>
          <w:p w14:paraId="47812F09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The reply leaking the prompt or tool names, promising a discount or refund it has no authority to grant, unsafe content, or talking as an “unrestricted” AI.</w:t>
            </w:r>
          </w:p>
        </w:tc>
      </w:tr>
    </w:tbl>
    <w:p w14:paraId="21CF5C1E" w14:textId="77777777" w:rsidR="003C3E11" w:rsidRDefault="003C3E11">
      <w:pPr>
        <w:spacing w:after="80"/>
        <w:rPr>
          <w:rFonts w:hint="eastAsia"/>
        </w:rPr>
      </w:pPr>
    </w:p>
    <w:p w14:paraId="2B0DC27E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 xml:space="preserve">Each policy is a </w:t>
      </w:r>
      <w:r>
        <w:t>plain-language document supplied by us, so it can be tuned for LUXE without retraining anything.</w:t>
      </w:r>
    </w:p>
    <w:p w14:paraId="49EB1C36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>Both screens judge the text on its own and explicitly ignore any instructions embedded inside it.</w:t>
      </w:r>
    </w:p>
    <w:p w14:paraId="5BA6258C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>Ordinary blunt messages (“your return policy is rubbish, give me a discount”) are allowed through — only genuine attacks and unsafe content are blocked.</w:t>
      </w:r>
    </w:p>
    <w:p w14:paraId="0FFB5536" w14:textId="77777777" w:rsidR="003C3E11" w:rsidRDefault="00A874C7">
      <w:pPr>
        <w:pStyle w:val="Heading2"/>
      </w:pPr>
      <w:bookmarkStart w:id="10" w:name="_Toc239950050"/>
      <w:r>
        <w:t>3.3  Identity and authorization</w:t>
      </w:r>
      <w:bookmarkEnd w:id="10"/>
    </w:p>
    <w:p w14:paraId="3800BAEE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Shopper identity.</w:t>
      </w:r>
      <w:r>
        <w:t xml:space="preserve">  The frontend sends the shopper's email with each request (a real one after sign-in, an auto-generated guest id otherwise). Carts and orders are keyed by that string.</w:t>
      </w:r>
    </w:p>
    <w:p w14:paraId="0F100CCA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lastRenderedPageBreak/>
        <w:t>Admin gating.</w:t>
      </w:r>
      <w:r>
        <w:t xml:space="preserve">  Admin endpoints check an is_admin flag on the user's database document, identified by an X-User-Email header. Passwords are hashed with bcrypt; Google Sign-In verifies Google's signature on the ID token and trusts the verified email.</w:t>
      </w:r>
    </w:p>
    <w:p w14:paraId="75C74A11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Known limitation.</w:t>
      </w:r>
      <w:r>
        <w:t xml:space="preserve">  This is a convenience gate, not a hardened boundary — there are no session tokens, and some read endpoints will return a record given its email. Tightening this (signed sessions, per-record authorization) is a scoped follow-up, independent of the assistant.</w:t>
      </w:r>
    </w:p>
    <w:p w14:paraId="79716037" w14:textId="77777777" w:rsidR="003C3E11" w:rsidRDefault="00A874C7">
      <w:pPr>
        <w:pStyle w:val="Heading2"/>
      </w:pPr>
      <w:bookmarkStart w:id="11" w:name="_Toc239950051"/>
      <w:r>
        <w:t>3.4  Observability and evaluation</w:t>
      </w:r>
      <w:bookmarkEnd w:id="11"/>
    </w:p>
    <w:p w14:paraId="0D850982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Tracing.</w:t>
      </w:r>
      <w:r>
        <w:t xml:space="preserve">  Logfire instruments FastAPI and Pydantic AI. Every request is a trace; every guardrail call, agent step and tool call is a nested span. A blocked message and the reason are recorded.</w:t>
      </w:r>
    </w:p>
    <w:p w14:paraId="43CA6684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Live evaluation.</w:t>
      </w:r>
      <w:r>
        <w:t xml:space="preserve">  After every real conversation, in the background (never on the response path), evaluators score the reply: is it non-empty, how long is it, and — on a 30% sample — an LLM judge rates whether it stayed on-topic and invented nothing. Scores stream to Logfire.</w:t>
      </w:r>
    </w:p>
    <w:p w14:paraId="46CBA8D3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Offline suite.</w:t>
      </w:r>
      <w:r>
        <w:t xml:space="preserve">  A fixed set of example conversations runs against the real agent on demand. It asserts on the tool-call span, not just the reply text, because the agent has been observed to claim “no results” without actually searching.</w:t>
      </w:r>
    </w:p>
    <w:p w14:paraId="0E187C73" w14:textId="77777777" w:rsidR="003C3E11" w:rsidRDefault="00A874C7">
      <w:pPr>
        <w:pStyle w:val="Heading1"/>
      </w:pPr>
      <w:bookmarkStart w:id="12" w:name="_Toc239950052"/>
      <w:r>
        <w:t>4.  Reliability &amp; Operations</w:t>
      </w:r>
      <w:bookmarkEnd w:id="12"/>
    </w:p>
    <w:p w14:paraId="5C6AFA6D" w14:textId="77777777" w:rsidR="003C3E11" w:rsidRDefault="00A874C7">
      <w:pPr>
        <w:pStyle w:val="Heading2"/>
      </w:pPr>
      <w:bookmarkStart w:id="13" w:name="_Toc239950053"/>
      <w:r>
        <w:t>4.1  Failure modes and behaviour</w:t>
      </w:r>
      <w:bookmarkEnd w:id="13"/>
    </w:p>
    <w:tbl>
      <w:tblPr>
        <w:tblW w:w="0" w:type="auto"/>
        <w:jc w:val="center"/>
        <w:tblBorders>
          <w:top w:val="single" w:sz="4" w:space="0" w:color="DDD5C8"/>
          <w:left w:val="single" w:sz="4" w:space="0" w:color="DDD5C8"/>
          <w:bottom w:val="single" w:sz="4" w:space="0" w:color="DDD5C8"/>
          <w:right w:val="single" w:sz="4" w:space="0" w:color="DDD5C8"/>
          <w:insideH w:val="single" w:sz="4" w:space="0" w:color="DDD5C8"/>
          <w:insideV w:val="single" w:sz="4" w:space="0" w:color="DDD5C8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5184"/>
      </w:tblGrid>
      <w:tr w:rsidR="003C3E11" w14:paraId="36DA79A4" w14:textId="77777777">
        <w:trPr>
          <w:jc w:val="center"/>
        </w:trPr>
        <w:tc>
          <w:tcPr>
            <w:tcW w:w="3456" w:type="dxa"/>
            <w:shd w:val="clear" w:color="auto" w:fill="F0E2DB"/>
          </w:tcPr>
          <w:p w14:paraId="0F161FB6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If this fails…</w:t>
            </w:r>
          </w:p>
        </w:tc>
        <w:tc>
          <w:tcPr>
            <w:tcW w:w="5184" w:type="dxa"/>
            <w:shd w:val="clear" w:color="auto" w:fill="F0E2DB"/>
          </w:tcPr>
          <w:p w14:paraId="5ECB431C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…the assistant does this</w:t>
            </w:r>
          </w:p>
        </w:tc>
      </w:tr>
      <w:tr w:rsidR="003C3E11" w14:paraId="294B1FF9" w14:textId="77777777">
        <w:trPr>
          <w:jc w:val="center"/>
        </w:trPr>
        <w:tc>
          <w:tcPr>
            <w:tcW w:w="3456" w:type="dxa"/>
          </w:tcPr>
          <w:p w14:paraId="767954B4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A guardrail (Groq) call errors</w:t>
            </w:r>
          </w:p>
        </w:tc>
        <w:tc>
          <w:tcPr>
            <w:tcW w:w="5184" w:type="dxa"/>
          </w:tcPr>
          <w:p w14:paraId="27B36C36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Logs it, continues. Chat stays up.</w:t>
            </w:r>
          </w:p>
        </w:tc>
      </w:tr>
      <w:tr w:rsidR="003C3E11" w14:paraId="01EF2264" w14:textId="77777777">
        <w:trPr>
          <w:jc w:val="center"/>
        </w:trPr>
        <w:tc>
          <w:tcPr>
            <w:tcW w:w="3456" w:type="dxa"/>
          </w:tcPr>
          <w:p w14:paraId="42164A74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The agent / model call fails</w:t>
            </w:r>
          </w:p>
        </w:tc>
        <w:tc>
          <w:tcPr>
            <w:tcW w:w="5184" w:type="dxa"/>
          </w:tcPr>
          <w:p w14:paraId="6C332A6A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 xml:space="preserve">Returns a </w:t>
            </w:r>
            <w:r>
              <w:rPr>
                <w:sz w:val="19"/>
              </w:rPr>
              <w:t>friendly “try again” with the support number.</w:t>
            </w:r>
          </w:p>
        </w:tc>
      </w:tr>
      <w:tr w:rsidR="003C3E11" w14:paraId="184B83E0" w14:textId="77777777">
        <w:trPr>
          <w:jc w:val="center"/>
        </w:trPr>
        <w:tc>
          <w:tcPr>
            <w:tcW w:w="3456" w:type="dxa"/>
          </w:tcPr>
          <w:p w14:paraId="4E070FCC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The Portkey gateway is down</w:t>
            </w:r>
          </w:p>
        </w:tc>
        <w:tc>
          <w:tcPr>
            <w:tcW w:w="5184" w:type="dxa"/>
          </w:tcPr>
          <w:p w14:paraId="7FF5EB29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Falls back to calling Groq directly.</w:t>
            </w:r>
          </w:p>
        </w:tc>
      </w:tr>
      <w:tr w:rsidR="003C3E11" w14:paraId="5190677B" w14:textId="77777777">
        <w:trPr>
          <w:jc w:val="center"/>
        </w:trPr>
        <w:tc>
          <w:tcPr>
            <w:tcW w:w="3456" w:type="dxa"/>
          </w:tcPr>
          <w:p w14:paraId="240EE525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The message is empty</w:t>
            </w:r>
          </w:p>
        </w:tc>
        <w:tc>
          <w:tcPr>
            <w:tcW w:w="5184" w:type="dxa"/>
          </w:tcPr>
          <w:p w14:paraId="6A797BD4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Returns immediately, no model calls, no cost.</w:t>
            </w:r>
          </w:p>
        </w:tc>
      </w:tr>
      <w:tr w:rsidR="003C3E11" w14:paraId="0245FE3A" w14:textId="77777777">
        <w:trPr>
          <w:jc w:val="center"/>
        </w:trPr>
        <w:tc>
          <w:tcPr>
            <w:tcW w:w="3456" w:type="dxa"/>
          </w:tcPr>
          <w:p w14:paraId="2BDEB001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No products match</w:t>
            </w:r>
          </w:p>
        </w:tc>
        <w:tc>
          <w:tcPr>
            <w:tcW w:w="5184" w:type="dxa"/>
          </w:tcPr>
          <w:p w14:paraId="1912D36F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 xml:space="preserve">Returns a plain-text “no products found” reply; type </w:t>
            </w:r>
            <w:r>
              <w:rPr>
                <w:sz w:val="19"/>
              </w:rPr>
              <w:t>stays “text”.</w:t>
            </w:r>
          </w:p>
        </w:tc>
      </w:tr>
      <w:tr w:rsidR="003C3E11" w14:paraId="46AC5E76" w14:textId="77777777">
        <w:trPr>
          <w:jc w:val="center"/>
        </w:trPr>
        <w:tc>
          <w:tcPr>
            <w:tcW w:w="3456" w:type="dxa"/>
          </w:tcPr>
          <w:p w14:paraId="5236B3B0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The catalog query errors</w:t>
            </w:r>
          </w:p>
        </w:tc>
        <w:tc>
          <w:tcPr>
            <w:tcW w:w="5184" w:type="dxa"/>
          </w:tcPr>
          <w:p w14:paraId="17983EC2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Surfaces as a normal server error and is traced; the store is unaffected.</w:t>
            </w:r>
          </w:p>
        </w:tc>
      </w:tr>
    </w:tbl>
    <w:p w14:paraId="5DB0A15E" w14:textId="77777777" w:rsidR="003C3E11" w:rsidRDefault="003C3E11">
      <w:pPr>
        <w:spacing w:after="80"/>
        <w:rPr>
          <w:rFonts w:hint="eastAsia"/>
        </w:rPr>
      </w:pPr>
    </w:p>
    <w:p w14:paraId="5C2B7E72" w14:textId="77777777" w:rsidR="003C3E11" w:rsidRDefault="00A874C7">
      <w:pPr>
        <w:pStyle w:val="Heading2"/>
      </w:pPr>
      <w:bookmarkStart w:id="14" w:name="_Toc239950054"/>
      <w:r>
        <w:t>4.2  Statelessness and scaling</w:t>
      </w:r>
      <w:bookmarkEnd w:id="14"/>
    </w:p>
    <w:p w14:paraId="0B9EB974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>run_chat holds no cross-request state. Each run gets its own StoreDeps object; nothing leaks between conversations or users.</w:t>
      </w:r>
    </w:p>
    <w:p w14:paraId="633D490B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>The MongoDB client connects lazily and the account indexes are created once at startup, so a cold start does no avoidable work.</w:t>
      </w:r>
    </w:p>
    <w:p w14:paraId="412803C9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lastRenderedPageBreak/>
        <w:t>Because the path is stateless, it scales horizontally with no coordination and to zero when idle — it fits whatever runtime the store already uses.</w:t>
      </w:r>
    </w:p>
    <w:p w14:paraId="3726193A" w14:textId="77777777" w:rsidR="003C3E11" w:rsidRDefault="00A874C7">
      <w:pPr>
        <w:pStyle w:val="Heading2"/>
      </w:pPr>
      <w:bookmarkStart w:id="15" w:name="_Toc239950055"/>
      <w:r>
        <w:t>4.3  Testing and the release gate</w:t>
      </w:r>
      <w:bookmarkEnd w:id="15"/>
    </w:p>
    <w:p w14:paraId="4BA28C6D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>68 tests, fully offline: the database is an in-memory fake and every LLM call is mocked. They run in a few seconds, cost nothing, and touch no network.</w:t>
      </w:r>
    </w:p>
    <w:p w14:paraId="35F220F1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 xml:space="preserve">The suite covers the whole </w:t>
      </w:r>
      <w:r>
        <w:t>pipeline — guardrail blocking, both fail-open paths, product vs. text responses, the agent-error fallback, and the search_products tool in isolation.</w:t>
      </w:r>
    </w:p>
    <w:p w14:paraId="24E6943F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 xml:space="preserve">CI runs the suite on every push. Nothing deploys unless it is green. A pre-push git hook runs the same </w:t>
      </w:r>
      <w:r>
        <w:t>check locally.</w:t>
      </w:r>
    </w:p>
    <w:p w14:paraId="3CD1EE6F" w14:textId="77777777" w:rsidR="003C3E11" w:rsidRDefault="00A874C7">
      <w:pPr>
        <w:pStyle w:val="Heading1"/>
      </w:pPr>
      <w:bookmarkStart w:id="16" w:name="_Toc239950056"/>
      <w:r>
        <w:t>5.  Integration &amp; Delivery</w:t>
      </w:r>
      <w:bookmarkEnd w:id="16"/>
    </w:p>
    <w:p w14:paraId="5CB4DEFB" w14:textId="77777777" w:rsidR="003C3E11" w:rsidRDefault="00A874C7">
      <w:pPr>
        <w:rPr>
          <w:rFonts w:hint="eastAsia"/>
        </w:rPr>
      </w:pPr>
      <w:r>
        <w:t>This section is about how the assistant becomes part of your system — not about how your system is hosted, which is unchanged.</w:t>
      </w:r>
    </w:p>
    <w:p w14:paraId="21DB280A" w14:textId="77777777" w:rsidR="003C3E11" w:rsidRDefault="00A874C7">
      <w:pPr>
        <w:pStyle w:val="Heading2"/>
      </w:pPr>
      <w:bookmarkStart w:id="17" w:name="_Toc239950057"/>
      <w:r>
        <w:t>5.1  How the assistant lands in your codebase</w:t>
      </w:r>
      <w:bookmarkEnd w:id="17"/>
    </w:p>
    <w:p w14:paraId="6F9BCDD7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A self-contained package.</w:t>
      </w:r>
      <w:r>
        <w:t xml:space="preserve">  The assistant is one folder — chatbot/ — containing the agent, the guardrails and the run_chat pipeline. It depends only on your config, a read-only database handle, and a few small helpers.</w:t>
      </w:r>
    </w:p>
    <w:p w14:paraId="47349283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A thin route.</w:t>
      </w:r>
      <w:r>
        <w:t xml:space="preserve">  Your API gains one endpoint, POST /chat, whose entire body is “call run_chat and return the result”.</w:t>
      </w:r>
    </w:p>
    <w:p w14:paraId="46E58A86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The widget.</w:t>
      </w:r>
      <w:r>
        <w:t xml:space="preserve">  One JavaScript component, mounted once, present on every page.</w:t>
      </w:r>
    </w:p>
    <w:p w14:paraId="6F0015D6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rPr>
          <w:b/>
        </w:rPr>
        <w:t>Configuration.</w:t>
      </w:r>
      <w:r>
        <w:t xml:space="preserve">  A handful of environment variables (section 5.2). No schema changes, no migrations, no new infrastructure to stand up.</w:t>
      </w:r>
    </w:p>
    <w:p w14:paraId="7152A6CE" w14:textId="77777777" w:rsidR="003C3E11" w:rsidRDefault="00A874C7">
      <w:pPr>
        <w:rPr>
          <w:rFonts w:hint="eastAsia"/>
        </w:rPr>
      </w:pPr>
      <w:r>
        <w:t>We prove this is a clean drop-in before integration begins: the same chatbot/ package is built and demonstrated as a standalone proof of concept, then moved into the store unchanged. The only difference between the two is a single configuration flag that turns evaluation on.</w:t>
      </w:r>
    </w:p>
    <w:p w14:paraId="0AD6149D" w14:textId="77777777" w:rsidR="003C3E11" w:rsidRDefault="00A874C7">
      <w:pPr>
        <w:pStyle w:val="Heading2"/>
      </w:pPr>
      <w:bookmarkStart w:id="18" w:name="_Toc239950058"/>
      <w:r>
        <w:t>5.2  Configuration</w:t>
      </w:r>
      <w:bookmarkEnd w:id="18"/>
    </w:p>
    <w:tbl>
      <w:tblPr>
        <w:tblW w:w="0" w:type="auto"/>
        <w:jc w:val="center"/>
        <w:tblBorders>
          <w:top w:val="single" w:sz="4" w:space="0" w:color="DDD5C8"/>
          <w:left w:val="single" w:sz="4" w:space="0" w:color="DDD5C8"/>
          <w:bottom w:val="single" w:sz="4" w:space="0" w:color="DDD5C8"/>
          <w:right w:val="single" w:sz="4" w:space="0" w:color="DDD5C8"/>
          <w:insideH w:val="single" w:sz="4" w:space="0" w:color="DDD5C8"/>
          <w:insideV w:val="single" w:sz="4" w:space="0" w:color="DDD5C8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1296"/>
        <w:gridCol w:w="4032"/>
      </w:tblGrid>
      <w:tr w:rsidR="003C3E11" w14:paraId="4E0827C6" w14:textId="77777777">
        <w:trPr>
          <w:jc w:val="center"/>
        </w:trPr>
        <w:tc>
          <w:tcPr>
            <w:tcW w:w="3312" w:type="dxa"/>
            <w:shd w:val="clear" w:color="auto" w:fill="F0E2DB"/>
          </w:tcPr>
          <w:p w14:paraId="51E1948A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Variable</w:t>
            </w:r>
          </w:p>
        </w:tc>
        <w:tc>
          <w:tcPr>
            <w:tcW w:w="1296" w:type="dxa"/>
            <w:shd w:val="clear" w:color="auto" w:fill="F0E2DB"/>
          </w:tcPr>
          <w:p w14:paraId="560C533D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Required</w:t>
            </w:r>
          </w:p>
        </w:tc>
        <w:tc>
          <w:tcPr>
            <w:tcW w:w="4032" w:type="dxa"/>
            <w:shd w:val="clear" w:color="auto" w:fill="F0E2DB"/>
          </w:tcPr>
          <w:p w14:paraId="31E23496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Purpose</w:t>
            </w:r>
          </w:p>
        </w:tc>
      </w:tr>
      <w:tr w:rsidR="003C3E11" w14:paraId="17FA928C" w14:textId="77777777">
        <w:trPr>
          <w:jc w:val="center"/>
        </w:trPr>
        <w:tc>
          <w:tcPr>
            <w:tcW w:w="3312" w:type="dxa"/>
          </w:tcPr>
          <w:p w14:paraId="29EAA322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MONGO_URI</w:t>
            </w:r>
          </w:p>
        </w:tc>
        <w:tc>
          <w:tcPr>
            <w:tcW w:w="1296" w:type="dxa"/>
          </w:tcPr>
          <w:p w14:paraId="29811EC7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4032" w:type="dxa"/>
          </w:tcPr>
          <w:p w14:paraId="59868073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Connection to the product catalog (read-only for the agent).</w:t>
            </w:r>
          </w:p>
        </w:tc>
      </w:tr>
      <w:tr w:rsidR="003C3E11" w14:paraId="49189F90" w14:textId="77777777">
        <w:trPr>
          <w:jc w:val="center"/>
        </w:trPr>
        <w:tc>
          <w:tcPr>
            <w:tcW w:w="3312" w:type="dxa"/>
          </w:tcPr>
          <w:p w14:paraId="02D4C560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GROQ_API_KEY</w:t>
            </w:r>
          </w:p>
        </w:tc>
        <w:tc>
          <w:tcPr>
            <w:tcW w:w="1296" w:type="dxa"/>
          </w:tcPr>
          <w:p w14:paraId="37A4B66A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4032" w:type="dxa"/>
          </w:tcPr>
          <w:p w14:paraId="44F6BF60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The agent and guardrail models.</w:t>
            </w:r>
          </w:p>
        </w:tc>
      </w:tr>
      <w:tr w:rsidR="003C3E11" w14:paraId="22CFA55D" w14:textId="77777777">
        <w:trPr>
          <w:jc w:val="center"/>
        </w:trPr>
        <w:tc>
          <w:tcPr>
            <w:tcW w:w="3312" w:type="dxa"/>
          </w:tcPr>
          <w:p w14:paraId="50AE4169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PORTKEY_API_KEY, PORTKEY_GROQ_PROVIDER</w:t>
            </w:r>
          </w:p>
        </w:tc>
        <w:tc>
          <w:tcPr>
            <w:tcW w:w="1296" w:type="dxa"/>
          </w:tcPr>
          <w:p w14:paraId="48103AC7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optional</w:t>
            </w:r>
          </w:p>
        </w:tc>
        <w:tc>
          <w:tcPr>
            <w:tcW w:w="4032" w:type="dxa"/>
          </w:tcPr>
          <w:p w14:paraId="31ABB1C5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 xml:space="preserve">Route model calls </w:t>
            </w:r>
            <w:r>
              <w:rPr>
                <w:sz w:val="19"/>
              </w:rPr>
              <w:t>through the Portkey gateway.</w:t>
            </w:r>
          </w:p>
        </w:tc>
      </w:tr>
      <w:tr w:rsidR="003C3E11" w14:paraId="2C2ED2EC" w14:textId="77777777">
        <w:trPr>
          <w:jc w:val="center"/>
        </w:trPr>
        <w:tc>
          <w:tcPr>
            <w:tcW w:w="3312" w:type="dxa"/>
          </w:tcPr>
          <w:p w14:paraId="1307AF9D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LOGFIRE_TOKEN</w:t>
            </w:r>
          </w:p>
        </w:tc>
        <w:tc>
          <w:tcPr>
            <w:tcW w:w="1296" w:type="dxa"/>
          </w:tcPr>
          <w:p w14:paraId="28E8D0CF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optional</w:t>
            </w:r>
          </w:p>
        </w:tc>
        <w:tc>
          <w:tcPr>
            <w:tcW w:w="4032" w:type="dxa"/>
          </w:tcPr>
          <w:p w14:paraId="069F6693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Send traces and eval scores to Logfire. Off = local only.</w:t>
            </w:r>
          </w:p>
        </w:tc>
      </w:tr>
      <w:tr w:rsidR="003C3E11" w14:paraId="222990D6" w14:textId="77777777">
        <w:trPr>
          <w:jc w:val="center"/>
        </w:trPr>
        <w:tc>
          <w:tcPr>
            <w:tcW w:w="3312" w:type="dxa"/>
          </w:tcPr>
          <w:p w14:paraId="1B5E6015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GOOGLE_CLIENT_ID</w:t>
            </w:r>
          </w:p>
        </w:tc>
        <w:tc>
          <w:tcPr>
            <w:tcW w:w="1296" w:type="dxa"/>
          </w:tcPr>
          <w:p w14:paraId="0E98CFE3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optional</w:t>
            </w:r>
          </w:p>
        </w:tc>
        <w:tc>
          <w:tcPr>
            <w:tcW w:w="4032" w:type="dxa"/>
          </w:tcPr>
          <w:p w14:paraId="176BEB2B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“Sign in with Google”.</w:t>
            </w:r>
          </w:p>
        </w:tc>
      </w:tr>
      <w:tr w:rsidR="003C3E11" w14:paraId="06CE3AD7" w14:textId="77777777">
        <w:trPr>
          <w:jc w:val="center"/>
        </w:trPr>
        <w:tc>
          <w:tcPr>
            <w:tcW w:w="3312" w:type="dxa"/>
          </w:tcPr>
          <w:p w14:paraId="2FA62EC5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ONLINE_EVALS_ENABLED</w:t>
            </w:r>
          </w:p>
        </w:tc>
        <w:tc>
          <w:tcPr>
            <w:tcW w:w="1296" w:type="dxa"/>
          </w:tcPr>
          <w:p w14:paraId="155D0AEB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default on</w:t>
            </w:r>
          </w:p>
        </w:tc>
        <w:tc>
          <w:tcPr>
            <w:tcW w:w="4032" w:type="dxa"/>
          </w:tcPr>
          <w:p w14:paraId="2D789A8F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Attach the live evaluators to the agent.</w:t>
            </w:r>
          </w:p>
        </w:tc>
      </w:tr>
      <w:tr w:rsidR="003C3E11" w14:paraId="12FD89C8" w14:textId="77777777">
        <w:trPr>
          <w:jc w:val="center"/>
        </w:trPr>
        <w:tc>
          <w:tcPr>
            <w:tcW w:w="3312" w:type="dxa"/>
          </w:tcPr>
          <w:p w14:paraId="30B40A3F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lastRenderedPageBreak/>
              <w:t>AGENT_MODEL_NAME and the guard model ids</w:t>
            </w:r>
          </w:p>
        </w:tc>
        <w:tc>
          <w:tcPr>
            <w:tcW w:w="1296" w:type="dxa"/>
          </w:tcPr>
          <w:p w14:paraId="05F9D8F3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default set</w:t>
            </w:r>
          </w:p>
        </w:tc>
        <w:tc>
          <w:tcPr>
            <w:tcW w:w="4032" w:type="dxa"/>
          </w:tcPr>
          <w:p w14:paraId="5D048F62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Override the Groq models without a code change.</w:t>
            </w:r>
          </w:p>
        </w:tc>
      </w:tr>
    </w:tbl>
    <w:p w14:paraId="239B75B4" w14:textId="77777777" w:rsidR="003C3E11" w:rsidRDefault="003C3E11">
      <w:pPr>
        <w:spacing w:after="80"/>
        <w:rPr>
          <w:rFonts w:hint="eastAsia"/>
        </w:rPr>
      </w:pPr>
    </w:p>
    <w:p w14:paraId="1DFF4F23" w14:textId="77777777" w:rsidR="003C3E11" w:rsidRDefault="00A874C7">
      <w:pPr>
        <w:rPr>
          <w:rFonts w:hint="eastAsia"/>
        </w:rPr>
      </w:pPr>
      <w:r>
        <w:t>All of it is read in exactly one place — a single typed settings object — so there is one file to review for what the service touches.</w:t>
      </w:r>
    </w:p>
    <w:p w14:paraId="668BB5E6" w14:textId="77777777" w:rsidR="003C3E11" w:rsidRDefault="00A874C7">
      <w:pPr>
        <w:pStyle w:val="Heading2"/>
      </w:pPr>
      <w:bookmarkStart w:id="19" w:name="_Toc239950059"/>
      <w:r>
        <w:t>5.3  The Forward-Deployed delivery model</w:t>
      </w:r>
      <w:bookmarkEnd w:id="19"/>
    </w:p>
    <w:p w14:paraId="18CE1DA3" w14:textId="77777777" w:rsidR="003C3E11" w:rsidRDefault="00A874C7">
      <w:pPr>
        <w:rPr>
          <w:rFonts w:hint="eastAsia"/>
        </w:rPr>
      </w:pPr>
      <w:r>
        <w:t>The work is delivered in three stages, each ending in something you can run and judge:</w:t>
      </w:r>
    </w:p>
    <w:tbl>
      <w:tblPr>
        <w:tblW w:w="0" w:type="auto"/>
        <w:jc w:val="center"/>
        <w:tblBorders>
          <w:top w:val="single" w:sz="4" w:space="0" w:color="DDD5C8"/>
          <w:left w:val="single" w:sz="4" w:space="0" w:color="DDD5C8"/>
          <w:bottom w:val="single" w:sz="4" w:space="0" w:color="DDD5C8"/>
          <w:right w:val="single" w:sz="4" w:space="0" w:color="DDD5C8"/>
          <w:insideH w:val="single" w:sz="4" w:space="0" w:color="DDD5C8"/>
          <w:insideV w:val="single" w:sz="4" w:space="0" w:color="DDD5C8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4752"/>
      </w:tblGrid>
      <w:tr w:rsidR="003C3E11" w14:paraId="23562782" w14:textId="77777777">
        <w:trPr>
          <w:jc w:val="center"/>
        </w:trPr>
        <w:tc>
          <w:tcPr>
            <w:tcW w:w="2160" w:type="dxa"/>
            <w:shd w:val="clear" w:color="auto" w:fill="F0E2DB"/>
          </w:tcPr>
          <w:p w14:paraId="3653AAF7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Stage</w:t>
            </w:r>
          </w:p>
        </w:tc>
        <w:tc>
          <w:tcPr>
            <w:tcW w:w="1728" w:type="dxa"/>
            <w:shd w:val="clear" w:color="auto" w:fill="F0E2DB"/>
          </w:tcPr>
          <w:p w14:paraId="42D29AC6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Duration</w:t>
            </w:r>
          </w:p>
        </w:tc>
        <w:tc>
          <w:tcPr>
            <w:tcW w:w="4752" w:type="dxa"/>
            <w:shd w:val="clear" w:color="auto" w:fill="F0E2DB"/>
          </w:tcPr>
          <w:p w14:paraId="24887DFD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What you get</w:t>
            </w:r>
          </w:p>
        </w:tc>
      </w:tr>
      <w:tr w:rsidR="003C3E11" w14:paraId="4DB5339E" w14:textId="77777777">
        <w:trPr>
          <w:jc w:val="center"/>
        </w:trPr>
        <w:tc>
          <w:tcPr>
            <w:tcW w:w="2160" w:type="dxa"/>
          </w:tcPr>
          <w:p w14:paraId="3B365C7A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Discovery</w:t>
            </w:r>
          </w:p>
        </w:tc>
        <w:tc>
          <w:tcPr>
            <w:tcW w:w="1728" w:type="dxa"/>
          </w:tcPr>
          <w:p w14:paraId="2F867B47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~1–2 weeks</w:t>
            </w:r>
          </w:p>
        </w:tc>
        <w:tc>
          <w:tcPr>
            <w:tcW w:w="4752" w:type="dxa"/>
          </w:tcPr>
          <w:p w14:paraId="55342D28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 xml:space="preserve">We work inside the running store, learn the catalog and the data, and agree the success </w:t>
            </w:r>
            <w:r>
              <w:rPr>
                <w:sz w:val="19"/>
              </w:rPr>
              <w:t>criteria. Deliverable: this document, confirmed against reality.</w:t>
            </w:r>
          </w:p>
        </w:tc>
      </w:tr>
      <w:tr w:rsidR="003C3E11" w14:paraId="02581355" w14:textId="77777777">
        <w:trPr>
          <w:jc w:val="center"/>
        </w:trPr>
        <w:tc>
          <w:tcPr>
            <w:tcW w:w="2160" w:type="dxa"/>
          </w:tcPr>
          <w:p w14:paraId="3B8A174E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Proof of concept</w:t>
            </w:r>
          </w:p>
        </w:tc>
        <w:tc>
          <w:tcPr>
            <w:tcW w:w="1728" w:type="dxa"/>
          </w:tcPr>
          <w:p w14:paraId="3BACDC2F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~1–2 weeks</w:t>
            </w:r>
          </w:p>
        </w:tc>
        <w:tc>
          <w:tcPr>
            <w:tcW w:w="4752" w:type="dxa"/>
          </w:tcPr>
          <w:p w14:paraId="7187D089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A standalone assistant, working against your real catalog, that you can try. Deliverable: a demo and a go / no-go decision. If it is a no-go, we stop here.</w:t>
            </w:r>
          </w:p>
        </w:tc>
      </w:tr>
      <w:tr w:rsidR="003C3E11" w14:paraId="3B4F5398" w14:textId="77777777">
        <w:trPr>
          <w:jc w:val="center"/>
        </w:trPr>
        <w:tc>
          <w:tcPr>
            <w:tcW w:w="2160" w:type="dxa"/>
          </w:tcPr>
          <w:p w14:paraId="07EA453A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Integration</w:t>
            </w:r>
          </w:p>
        </w:tc>
        <w:tc>
          <w:tcPr>
            <w:tcW w:w="1728" w:type="dxa"/>
          </w:tcPr>
          <w:p w14:paraId="416E6F08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~2 weeks</w:t>
            </w:r>
          </w:p>
        </w:tc>
        <w:tc>
          <w:tcPr>
            <w:tcW w:w="4752" w:type="dxa"/>
          </w:tcPr>
          <w:p w14:paraId="44A64FC7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The approved package folded into the store, with evals and tracing switched on. Deliverable: the assistant live, the store unchanged, the test suite green.</w:t>
            </w:r>
          </w:p>
        </w:tc>
      </w:tr>
    </w:tbl>
    <w:p w14:paraId="6D46C0F0" w14:textId="77777777" w:rsidR="003C3E11" w:rsidRDefault="003C3E11">
      <w:pPr>
        <w:spacing w:after="80"/>
        <w:rPr>
          <w:rFonts w:hint="eastAsia"/>
        </w:rPr>
      </w:pPr>
    </w:p>
    <w:p w14:paraId="4E64A568" w14:textId="77777777" w:rsidR="003C3E11" w:rsidRDefault="00A874C7">
      <w:pPr>
        <w:rPr>
          <w:rFonts w:hint="eastAsia"/>
        </w:rPr>
      </w:pPr>
      <w:r>
        <w:t xml:space="preserve">Each stage lives on its own branch, so the plain store, the isolated proof of </w:t>
      </w:r>
      <w:r>
        <w:t>concept, and the integrated result stay separately reviewable. The assistant's core code is byte-for-byte identical between the proof of concept and the integrated version.</w:t>
      </w:r>
    </w:p>
    <w:p w14:paraId="062A681E" w14:textId="77777777" w:rsidR="003C3E11" w:rsidRDefault="00A874C7">
      <w:pPr>
        <w:rPr>
          <w:rFonts w:hint="eastAsia"/>
        </w:rPr>
      </w:pPr>
      <w:r>
        <w:br w:type="page"/>
      </w:r>
    </w:p>
    <w:p w14:paraId="23E8F881" w14:textId="77777777" w:rsidR="003C3E11" w:rsidRDefault="00A874C7">
      <w:pPr>
        <w:pStyle w:val="Heading1"/>
      </w:pPr>
      <w:bookmarkStart w:id="20" w:name="_Toc239950060"/>
      <w:r>
        <w:lastRenderedPageBreak/>
        <w:t>Appendix A  —  Cost model</w:t>
      </w:r>
      <w:bookmarkEnd w:id="20"/>
    </w:p>
    <w:p w14:paraId="3B9229C8" w14:textId="77777777" w:rsidR="003C3E11" w:rsidRDefault="00A874C7">
      <w:pPr>
        <w:rPr>
          <w:rFonts w:hint="eastAsia"/>
        </w:rPr>
      </w:pPr>
      <w:r>
        <w:t>The assistant's running cost is almost entirely Groq API usage. Everything else — the database, the store's hosting — already exists and does not change.</w:t>
      </w:r>
    </w:p>
    <w:p w14:paraId="7159AAFB" w14:textId="77777777" w:rsidR="003C3E11" w:rsidRDefault="00A874C7">
      <w:pPr>
        <w:pStyle w:val="Heading3"/>
      </w:pPr>
      <w:bookmarkStart w:id="21" w:name="_Toc239950061"/>
      <w:r>
        <w:t>Per message</w:t>
      </w:r>
      <w:bookmarkEnd w:id="21"/>
    </w:p>
    <w:p w14:paraId="18014A69" w14:textId="77777777" w:rsidR="003C3E11" w:rsidRDefault="00A874C7">
      <w:pPr>
        <w:rPr>
          <w:rFonts w:hint="eastAsia"/>
        </w:rPr>
      </w:pPr>
      <w:r>
        <w:t>A single shopper message triggers up to four model calls: the prompt-injection classifier (tiny), the input policy check, the agent (one or two rounds if it uses the tool), and the output policy check. Realistic token totals:</w:t>
      </w:r>
    </w:p>
    <w:tbl>
      <w:tblPr>
        <w:tblW w:w="0" w:type="auto"/>
        <w:jc w:val="center"/>
        <w:tblBorders>
          <w:top w:val="single" w:sz="4" w:space="0" w:color="DDD5C8"/>
          <w:left w:val="single" w:sz="4" w:space="0" w:color="DDD5C8"/>
          <w:bottom w:val="single" w:sz="4" w:space="0" w:color="DDD5C8"/>
          <w:right w:val="single" w:sz="4" w:space="0" w:color="DDD5C8"/>
          <w:insideH w:val="single" w:sz="4" w:space="0" w:color="DDD5C8"/>
          <w:insideV w:val="single" w:sz="4" w:space="0" w:color="DDD5C8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1440"/>
      </w:tblGrid>
      <w:tr w:rsidR="003C3E11" w14:paraId="67BFA138" w14:textId="77777777">
        <w:trPr>
          <w:jc w:val="center"/>
        </w:trPr>
        <w:tc>
          <w:tcPr>
            <w:tcW w:w="2160" w:type="dxa"/>
            <w:shd w:val="clear" w:color="auto" w:fill="F0E2DB"/>
          </w:tcPr>
          <w:p w14:paraId="04904EED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Call</w:t>
            </w:r>
          </w:p>
        </w:tc>
        <w:tc>
          <w:tcPr>
            <w:tcW w:w="2880" w:type="dxa"/>
            <w:shd w:val="clear" w:color="auto" w:fill="F0E2DB"/>
          </w:tcPr>
          <w:p w14:paraId="2F309717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Model</w:t>
            </w:r>
          </w:p>
        </w:tc>
        <w:tc>
          <w:tcPr>
            <w:tcW w:w="2160" w:type="dxa"/>
            <w:shd w:val="clear" w:color="auto" w:fill="F0E2DB"/>
          </w:tcPr>
          <w:p w14:paraId="762121A6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~ tokens (in / out)</w:t>
            </w:r>
          </w:p>
        </w:tc>
        <w:tc>
          <w:tcPr>
            <w:tcW w:w="1440" w:type="dxa"/>
            <w:shd w:val="clear" w:color="auto" w:fill="F0E2DB"/>
          </w:tcPr>
          <w:p w14:paraId="7014C467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~ cost</w:t>
            </w:r>
          </w:p>
        </w:tc>
      </w:tr>
      <w:tr w:rsidR="003C3E11" w14:paraId="34D9AD91" w14:textId="77777777">
        <w:trPr>
          <w:jc w:val="center"/>
        </w:trPr>
        <w:tc>
          <w:tcPr>
            <w:tcW w:w="2160" w:type="dxa"/>
          </w:tcPr>
          <w:p w14:paraId="3D98E0A6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Injection check</w:t>
            </w:r>
          </w:p>
        </w:tc>
        <w:tc>
          <w:tcPr>
            <w:tcW w:w="2880" w:type="dxa"/>
          </w:tcPr>
          <w:p w14:paraId="2CEF0B16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llama-prompt-guard-2-86m</w:t>
            </w:r>
          </w:p>
        </w:tc>
        <w:tc>
          <w:tcPr>
            <w:tcW w:w="2160" w:type="dxa"/>
          </w:tcPr>
          <w:p w14:paraId="6989091B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200 / 5</w:t>
            </w:r>
          </w:p>
        </w:tc>
        <w:tc>
          <w:tcPr>
            <w:tcW w:w="1440" w:type="dxa"/>
          </w:tcPr>
          <w:p w14:paraId="492F40E7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&lt; $0.00001</w:t>
            </w:r>
          </w:p>
        </w:tc>
      </w:tr>
      <w:tr w:rsidR="003C3E11" w14:paraId="5F660054" w14:textId="77777777">
        <w:trPr>
          <w:jc w:val="center"/>
        </w:trPr>
        <w:tc>
          <w:tcPr>
            <w:tcW w:w="2160" w:type="dxa"/>
          </w:tcPr>
          <w:p w14:paraId="1DE470BD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Input policy</w:t>
            </w:r>
          </w:p>
        </w:tc>
        <w:tc>
          <w:tcPr>
            <w:tcW w:w="2880" w:type="dxa"/>
          </w:tcPr>
          <w:p w14:paraId="5FC5CD10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gpt-oss-safeguard-20b</w:t>
            </w:r>
          </w:p>
        </w:tc>
        <w:tc>
          <w:tcPr>
            <w:tcW w:w="2160" w:type="dxa"/>
          </w:tcPr>
          <w:p w14:paraId="4258C6D0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800 / 200</w:t>
            </w:r>
          </w:p>
        </w:tc>
        <w:tc>
          <w:tcPr>
            <w:tcW w:w="1440" w:type="dxa"/>
          </w:tcPr>
          <w:p w14:paraId="62CFF7E5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$0.00012</w:t>
            </w:r>
          </w:p>
        </w:tc>
      </w:tr>
      <w:tr w:rsidR="003C3E11" w14:paraId="29486672" w14:textId="77777777">
        <w:trPr>
          <w:jc w:val="center"/>
        </w:trPr>
        <w:tc>
          <w:tcPr>
            <w:tcW w:w="2160" w:type="dxa"/>
          </w:tcPr>
          <w:p w14:paraId="6727852F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 xml:space="preserve">Agent (with </w:t>
            </w:r>
            <w:r>
              <w:rPr>
                <w:sz w:val="19"/>
              </w:rPr>
              <w:t>tool)</w:t>
            </w:r>
          </w:p>
        </w:tc>
        <w:tc>
          <w:tcPr>
            <w:tcW w:w="2880" w:type="dxa"/>
          </w:tcPr>
          <w:p w14:paraId="722D40C6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gpt-oss-20b</w:t>
            </w:r>
          </w:p>
        </w:tc>
        <w:tc>
          <w:tcPr>
            <w:tcW w:w="2160" w:type="dxa"/>
          </w:tcPr>
          <w:p w14:paraId="4D1AF0ED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1,200 / 400</w:t>
            </w:r>
          </w:p>
        </w:tc>
        <w:tc>
          <w:tcPr>
            <w:tcW w:w="1440" w:type="dxa"/>
          </w:tcPr>
          <w:p w14:paraId="1D999DD3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$0.00021</w:t>
            </w:r>
          </w:p>
        </w:tc>
      </w:tr>
      <w:tr w:rsidR="003C3E11" w14:paraId="3E04056E" w14:textId="77777777">
        <w:trPr>
          <w:jc w:val="center"/>
        </w:trPr>
        <w:tc>
          <w:tcPr>
            <w:tcW w:w="2160" w:type="dxa"/>
          </w:tcPr>
          <w:p w14:paraId="598EDF21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Output policy</w:t>
            </w:r>
          </w:p>
        </w:tc>
        <w:tc>
          <w:tcPr>
            <w:tcW w:w="2880" w:type="dxa"/>
          </w:tcPr>
          <w:p w14:paraId="5912EC46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gpt-oss-safeguard-20b</w:t>
            </w:r>
          </w:p>
        </w:tc>
        <w:tc>
          <w:tcPr>
            <w:tcW w:w="2160" w:type="dxa"/>
          </w:tcPr>
          <w:p w14:paraId="45FF19DD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800 / 200</w:t>
            </w:r>
          </w:p>
        </w:tc>
        <w:tc>
          <w:tcPr>
            <w:tcW w:w="1440" w:type="dxa"/>
          </w:tcPr>
          <w:p w14:paraId="6690045B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$0.00012</w:t>
            </w:r>
          </w:p>
        </w:tc>
      </w:tr>
      <w:tr w:rsidR="003C3E11" w14:paraId="4BB27E60" w14:textId="77777777">
        <w:trPr>
          <w:jc w:val="center"/>
        </w:trPr>
        <w:tc>
          <w:tcPr>
            <w:tcW w:w="2160" w:type="dxa"/>
          </w:tcPr>
          <w:p w14:paraId="3B5115CB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Total per message</w:t>
            </w:r>
          </w:p>
        </w:tc>
        <w:tc>
          <w:tcPr>
            <w:tcW w:w="2880" w:type="dxa"/>
          </w:tcPr>
          <w:p w14:paraId="30BDD581" w14:textId="77777777" w:rsidR="003C3E11" w:rsidRDefault="003C3E11">
            <w:pPr>
              <w:spacing w:after="4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7DB477A6" w14:textId="77777777" w:rsidR="003C3E11" w:rsidRDefault="003C3E11">
            <w:pPr>
              <w:spacing w:after="40" w:line="276" w:lineRule="auto"/>
              <w:rPr>
                <w:rFonts w:hint="eastAsia"/>
              </w:rPr>
            </w:pPr>
          </w:p>
        </w:tc>
        <w:tc>
          <w:tcPr>
            <w:tcW w:w="1440" w:type="dxa"/>
          </w:tcPr>
          <w:p w14:paraId="0F5F0794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≈ $0.00046</w:t>
            </w:r>
          </w:p>
        </w:tc>
      </w:tr>
    </w:tbl>
    <w:p w14:paraId="19A6F8E7" w14:textId="77777777" w:rsidR="003C3E11" w:rsidRDefault="003C3E11">
      <w:pPr>
        <w:spacing w:after="80"/>
        <w:rPr>
          <w:rFonts w:hint="eastAsia"/>
        </w:rPr>
      </w:pPr>
    </w:p>
    <w:p w14:paraId="35A76918" w14:textId="77777777" w:rsidR="003C3E11" w:rsidRDefault="00A874C7">
      <w:pPr>
        <w:pStyle w:val="Heading3"/>
      </w:pPr>
      <w:bookmarkStart w:id="22" w:name="_Toc239950062"/>
      <w:r>
        <w:t>Per month</w:t>
      </w:r>
      <w:bookmarkEnd w:id="22"/>
    </w:p>
    <w:tbl>
      <w:tblPr>
        <w:tblW w:w="0" w:type="auto"/>
        <w:jc w:val="center"/>
        <w:tblBorders>
          <w:top w:val="single" w:sz="4" w:space="0" w:color="DDD5C8"/>
          <w:left w:val="single" w:sz="4" w:space="0" w:color="DDD5C8"/>
          <w:bottom w:val="single" w:sz="4" w:space="0" w:color="DDD5C8"/>
          <w:right w:val="single" w:sz="4" w:space="0" w:color="DDD5C8"/>
          <w:insideH w:val="single" w:sz="4" w:space="0" w:color="DDD5C8"/>
          <w:insideV w:val="single" w:sz="4" w:space="0" w:color="DDD5C8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1296"/>
        <w:gridCol w:w="1584"/>
        <w:gridCol w:w="1728"/>
        <w:gridCol w:w="1728"/>
      </w:tblGrid>
      <w:tr w:rsidR="003C3E11" w14:paraId="31871C96" w14:textId="77777777">
        <w:trPr>
          <w:jc w:val="center"/>
        </w:trPr>
        <w:tc>
          <w:tcPr>
            <w:tcW w:w="2736" w:type="dxa"/>
            <w:shd w:val="clear" w:color="auto" w:fill="F0E2DB"/>
          </w:tcPr>
          <w:p w14:paraId="727799E1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Monthly volume</w:t>
            </w:r>
          </w:p>
        </w:tc>
        <w:tc>
          <w:tcPr>
            <w:tcW w:w="1296" w:type="dxa"/>
            <w:shd w:val="clear" w:color="auto" w:fill="F0E2DB"/>
          </w:tcPr>
          <w:p w14:paraId="7157369C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Groq</w:t>
            </w:r>
          </w:p>
        </w:tc>
        <w:tc>
          <w:tcPr>
            <w:tcW w:w="1584" w:type="dxa"/>
            <w:shd w:val="clear" w:color="auto" w:fill="F0E2DB"/>
          </w:tcPr>
          <w:p w14:paraId="39D6F1D6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Extra compute</w:t>
            </w:r>
          </w:p>
        </w:tc>
        <w:tc>
          <w:tcPr>
            <w:tcW w:w="1728" w:type="dxa"/>
            <w:shd w:val="clear" w:color="auto" w:fill="F0E2DB"/>
          </w:tcPr>
          <w:p w14:paraId="06087FA1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Monitoring</w:t>
            </w:r>
          </w:p>
        </w:tc>
        <w:tc>
          <w:tcPr>
            <w:tcW w:w="1728" w:type="dxa"/>
            <w:shd w:val="clear" w:color="auto" w:fill="F0E2DB"/>
          </w:tcPr>
          <w:p w14:paraId="0F14F1A6" w14:textId="77777777" w:rsidR="003C3E11" w:rsidRDefault="00A874C7">
            <w:pPr>
              <w:spacing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sz w:val="19"/>
              </w:rPr>
              <w:t>Total / month</w:t>
            </w:r>
          </w:p>
        </w:tc>
      </w:tr>
      <w:tr w:rsidR="003C3E11" w14:paraId="4805B321" w14:textId="77777777">
        <w:trPr>
          <w:jc w:val="center"/>
        </w:trPr>
        <w:tc>
          <w:tcPr>
            <w:tcW w:w="2736" w:type="dxa"/>
          </w:tcPr>
          <w:p w14:paraId="27607192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~1,000 messages  (pilot)</w:t>
            </w:r>
          </w:p>
        </w:tc>
        <w:tc>
          <w:tcPr>
            <w:tcW w:w="1296" w:type="dxa"/>
          </w:tcPr>
          <w:p w14:paraId="39F1C807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 $0.50</w:t>
            </w:r>
          </w:p>
        </w:tc>
        <w:tc>
          <w:tcPr>
            <w:tcW w:w="1584" w:type="dxa"/>
          </w:tcPr>
          <w:p w14:paraId="0B939428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&lt; $1</w:t>
            </w:r>
          </w:p>
        </w:tc>
        <w:tc>
          <w:tcPr>
            <w:tcW w:w="1728" w:type="dxa"/>
          </w:tcPr>
          <w:p w14:paraId="37A76D51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 xml:space="preserve">$0  (free </w:t>
            </w:r>
            <w:r>
              <w:rPr>
                <w:sz w:val="19"/>
              </w:rPr>
              <w:t>tier)</w:t>
            </w:r>
          </w:p>
        </w:tc>
        <w:tc>
          <w:tcPr>
            <w:tcW w:w="1728" w:type="dxa"/>
          </w:tcPr>
          <w:p w14:paraId="2D198B67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under $2</w:t>
            </w:r>
          </w:p>
        </w:tc>
      </w:tr>
      <w:tr w:rsidR="003C3E11" w14:paraId="74878B22" w14:textId="77777777">
        <w:trPr>
          <w:jc w:val="center"/>
        </w:trPr>
        <w:tc>
          <w:tcPr>
            <w:tcW w:w="2736" w:type="dxa"/>
          </w:tcPr>
          <w:p w14:paraId="1DB5C21F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~10,000 messages  (launch)</w:t>
            </w:r>
          </w:p>
        </w:tc>
        <w:tc>
          <w:tcPr>
            <w:tcW w:w="1296" w:type="dxa"/>
          </w:tcPr>
          <w:p w14:paraId="60E4DD87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 $5</w:t>
            </w:r>
          </w:p>
        </w:tc>
        <w:tc>
          <w:tcPr>
            <w:tcW w:w="1584" w:type="dxa"/>
          </w:tcPr>
          <w:p w14:paraId="47135BB5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 $3</w:t>
            </w:r>
          </w:p>
        </w:tc>
        <w:tc>
          <w:tcPr>
            <w:tcW w:w="1728" w:type="dxa"/>
          </w:tcPr>
          <w:p w14:paraId="4CB21C86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$0  (free tier)</w:t>
            </w:r>
          </w:p>
        </w:tc>
        <w:tc>
          <w:tcPr>
            <w:tcW w:w="1728" w:type="dxa"/>
          </w:tcPr>
          <w:p w14:paraId="67FD1E7D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 $8 – $10</w:t>
            </w:r>
          </w:p>
        </w:tc>
      </w:tr>
      <w:tr w:rsidR="003C3E11" w14:paraId="23E2E0FB" w14:textId="77777777">
        <w:trPr>
          <w:jc w:val="center"/>
        </w:trPr>
        <w:tc>
          <w:tcPr>
            <w:tcW w:w="2736" w:type="dxa"/>
          </w:tcPr>
          <w:p w14:paraId="0EF17C82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~50,000 messages  (busy)</w:t>
            </w:r>
          </w:p>
        </w:tc>
        <w:tc>
          <w:tcPr>
            <w:tcW w:w="1296" w:type="dxa"/>
          </w:tcPr>
          <w:p w14:paraId="61424318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 $25</w:t>
            </w:r>
          </w:p>
        </w:tc>
        <w:tc>
          <w:tcPr>
            <w:tcW w:w="1584" w:type="dxa"/>
          </w:tcPr>
          <w:p w14:paraId="4614CE94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 $12</w:t>
            </w:r>
          </w:p>
        </w:tc>
        <w:tc>
          <w:tcPr>
            <w:tcW w:w="1728" w:type="dxa"/>
          </w:tcPr>
          <w:p w14:paraId="2745DBF5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$0 – $50</w:t>
            </w:r>
          </w:p>
        </w:tc>
        <w:tc>
          <w:tcPr>
            <w:tcW w:w="1728" w:type="dxa"/>
          </w:tcPr>
          <w:p w14:paraId="3E1417D3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 $40 – $90</w:t>
            </w:r>
          </w:p>
        </w:tc>
      </w:tr>
      <w:tr w:rsidR="003C3E11" w14:paraId="4BDD2B5A" w14:textId="77777777">
        <w:trPr>
          <w:jc w:val="center"/>
        </w:trPr>
        <w:tc>
          <w:tcPr>
            <w:tcW w:w="2736" w:type="dxa"/>
          </w:tcPr>
          <w:p w14:paraId="51DDC32A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~200,000 messages</w:t>
            </w:r>
          </w:p>
        </w:tc>
        <w:tc>
          <w:tcPr>
            <w:tcW w:w="1296" w:type="dxa"/>
          </w:tcPr>
          <w:p w14:paraId="4395151F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 $95</w:t>
            </w:r>
          </w:p>
        </w:tc>
        <w:tc>
          <w:tcPr>
            <w:tcW w:w="1584" w:type="dxa"/>
          </w:tcPr>
          <w:p w14:paraId="4958318F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 $40</w:t>
            </w:r>
          </w:p>
        </w:tc>
        <w:tc>
          <w:tcPr>
            <w:tcW w:w="1728" w:type="dxa"/>
          </w:tcPr>
          <w:p w14:paraId="577218FC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 $50 – $100</w:t>
            </w:r>
          </w:p>
        </w:tc>
        <w:tc>
          <w:tcPr>
            <w:tcW w:w="1728" w:type="dxa"/>
          </w:tcPr>
          <w:p w14:paraId="4F3553D0" w14:textId="77777777" w:rsidR="003C3E11" w:rsidRDefault="00A874C7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~ $185 – $235</w:t>
            </w:r>
          </w:p>
        </w:tc>
      </w:tr>
    </w:tbl>
    <w:p w14:paraId="7ED4FEE6" w14:textId="77777777" w:rsidR="003C3E11" w:rsidRDefault="003C3E11">
      <w:pPr>
        <w:spacing w:after="80"/>
        <w:rPr>
          <w:rFonts w:hint="eastAsia"/>
        </w:rPr>
      </w:pPr>
    </w:p>
    <w:p w14:paraId="4C43AA46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 xml:space="preserve">Figures use approximate public Groq and MongoDB </w:t>
      </w:r>
      <w:r>
        <w:t>rates as of September 2026.</w:t>
      </w:r>
    </w:p>
    <w:p w14:paraId="5AE82ED9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>Groq's free tier and per-minute limits cover pilot and early-launch volume outright; the numbers above assume paid, on-demand usage.</w:t>
      </w:r>
    </w:p>
    <w:p w14:paraId="185A187F" w14:textId="77777777" w:rsidR="003C3E11" w:rsidRDefault="00A874C7">
      <w:pPr>
        <w:pStyle w:val="ListBullet"/>
        <w:spacing w:after="60" w:line="288" w:lineRule="auto"/>
        <w:rPr>
          <w:rFonts w:hint="eastAsia"/>
        </w:rPr>
      </w:pPr>
      <w:r>
        <w:t>Two levers cut this further if needed: prompt caching (50% off repeated input, and the guard policies are identical every call) and the batch API for the offline eval suite (another 50%).</w:t>
      </w:r>
    </w:p>
    <w:p w14:paraId="536A758F" w14:textId="77777777" w:rsidR="003C3E11" w:rsidRDefault="00A874C7">
      <w:pPr>
        <w:spacing w:before="40" w:after="240"/>
        <w:rPr>
          <w:rFonts w:hint="eastAsia"/>
        </w:rPr>
      </w:pPr>
      <w:r>
        <w:rPr>
          <w:i/>
          <w:color w:val="6B635B"/>
          <w:sz w:val="17"/>
        </w:rPr>
        <w:t>This appendix backs the cost slide in the business deck.</w:t>
      </w:r>
    </w:p>
    <w:sectPr w:rsidR="003C3E11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034380">
    <w:abstractNumId w:val="8"/>
  </w:num>
  <w:num w:numId="2" w16cid:durableId="1132602616">
    <w:abstractNumId w:val="6"/>
  </w:num>
  <w:num w:numId="3" w16cid:durableId="1210259567">
    <w:abstractNumId w:val="5"/>
  </w:num>
  <w:num w:numId="4" w16cid:durableId="2091652301">
    <w:abstractNumId w:val="4"/>
  </w:num>
  <w:num w:numId="5" w16cid:durableId="284191995">
    <w:abstractNumId w:val="7"/>
  </w:num>
  <w:num w:numId="6" w16cid:durableId="516967090">
    <w:abstractNumId w:val="3"/>
  </w:num>
  <w:num w:numId="7" w16cid:durableId="1434932409">
    <w:abstractNumId w:val="2"/>
  </w:num>
  <w:num w:numId="8" w16cid:durableId="1724675617">
    <w:abstractNumId w:val="1"/>
  </w:num>
  <w:num w:numId="9" w16cid:durableId="64189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B73"/>
    <w:rsid w:val="00034616"/>
    <w:rsid w:val="0006063C"/>
    <w:rsid w:val="0015074B"/>
    <w:rsid w:val="0029639D"/>
    <w:rsid w:val="00326F90"/>
    <w:rsid w:val="003C3E11"/>
    <w:rsid w:val="00A874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C4A82"/>
  <w14:defaultImageDpi w14:val="300"/>
  <w15:docId w15:val="{AEB7BE18-BE78-4F6E-AAF8-0890D141B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egoe UI" w:hAnsi="Segoe UI"/>
      <w:color w:val="26221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9A45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9A45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874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74C7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A874C7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A874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2405</Words>
  <Characters>13710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Divesh Jadwan</cp:lastModifiedBy>
  <cp:revision>2</cp:revision>
  <dcterms:created xsi:type="dcterms:W3CDTF">2013-12-23T23:15:00Z</dcterms:created>
  <dcterms:modified xsi:type="dcterms:W3CDTF">2026-09-10T10:57:00Z</dcterms:modified>
  <cp:category/>
</cp:coreProperties>
</file>