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u w:val="single"/>
        </w:rPr>
      </w:pPr>
      <w:r w:rsidDel="00000000" w:rsidR="00000000" w:rsidRPr="00000000">
        <w:rPr>
          <w:b w:val="1"/>
          <w:sz w:val="28"/>
          <w:szCs w:val="28"/>
          <w:u w:val="single"/>
          <w:rtl w:val="0"/>
        </w:rPr>
        <w:t xml:space="preserve">Alcance: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La historia tiene como finalidad de presentar al docente la capacidad de definir un intervalo de tiempo para responder las preguntas solicitadas por los estudiantes, para así poder ajustar sus tiempos de responsabilidades diarias y para brindar al estudiante la estimación de tiempo de respuesta del docente.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sz w:val="28"/>
          <w:szCs w:val="28"/>
          <w:u w:val="single"/>
        </w:rPr>
      </w:pPr>
      <w:r w:rsidDel="00000000" w:rsidR="00000000" w:rsidRPr="00000000">
        <w:rPr>
          <w:b w:val="1"/>
          <w:sz w:val="28"/>
          <w:szCs w:val="28"/>
          <w:u w:val="single"/>
          <w:rtl w:val="0"/>
        </w:rPr>
        <w:t xml:space="preserve">Límites: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ind w:left="0" w:firstLine="0"/>
        <w:contextualSpacing w:val="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Solo los estudiantes que tengan alguna sección con el docente podrán visualizar su umbral de tiempo.</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