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u w:val="single"/>
        </w:rPr>
      </w:pPr>
      <w:r w:rsidDel="00000000" w:rsidR="00000000" w:rsidRPr="00000000">
        <w:rPr>
          <w:b w:val="1"/>
          <w:sz w:val="28"/>
          <w:szCs w:val="28"/>
          <w:u w:val="single"/>
          <w:rtl w:val="0"/>
        </w:rPr>
        <w:t xml:space="preserve">Alcance: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El director tendrá la capacidad de crear auditorías de diferentes tipos de forma automática desde la aplicación de la Universidad Andrés Bello, con la finalidad de que los estudiantes tengan un punto de apoyo o un pretexto para generar alertas y establecerse en dicha auditoría.</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b w:val="1"/>
          <w:sz w:val="28"/>
          <w:szCs w:val="28"/>
          <w:u w:val="single"/>
        </w:rPr>
      </w:pPr>
      <w:r w:rsidDel="00000000" w:rsidR="00000000" w:rsidRPr="00000000">
        <w:rPr>
          <w:b w:val="1"/>
          <w:sz w:val="28"/>
          <w:szCs w:val="28"/>
          <w:u w:val="single"/>
          <w:rtl w:val="0"/>
        </w:rPr>
        <w:t xml:space="preserve">Límites: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El director no podrá crear varias auditorías simultáneamente para no sobrecargar la aplicación.</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Los estudiantes solo podrán entrar a la auditorias de su sección.</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